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05CF9">
      <w:pPr>
        <w:widowControl/>
        <w:spacing w:before="0" w:beforeAutospacing="0" w:after="0" w:afterAutospacing="0" w:line="560" w:lineRule="exact"/>
        <w:ind w:left="0"/>
        <w:jc w:val="left"/>
        <w:rPr>
          <w:rFonts w:hint="eastAsia" w:ascii="黑体" w:hAnsi="黑体" w:eastAsia="黑体" w:cs="黑体"/>
          <w:color w:val="000000"/>
          <w:kern w:val="0"/>
          <w:sz w:val="32"/>
          <w:szCs w:val="32"/>
          <w:highlight w:val="none"/>
          <w:lang w:val="en-US" w:eastAsia="zh-CN"/>
        </w:rPr>
      </w:pPr>
      <w:r>
        <w:rPr>
          <w:rFonts w:hint="eastAsia" w:ascii="黑体" w:hAnsi="黑体" w:eastAsia="黑体" w:cs="黑体"/>
          <w:color w:val="000000"/>
          <w:kern w:val="0"/>
          <w:sz w:val="32"/>
          <w:szCs w:val="32"/>
          <w:highlight w:val="none"/>
          <w:lang w:val="en-US" w:eastAsia="zh-CN"/>
        </w:rPr>
        <w:t>附件3</w:t>
      </w:r>
    </w:p>
    <w:p w14:paraId="1EF5DCF7">
      <w:pPr>
        <w:spacing w:line="500" w:lineRule="exact"/>
        <w:jc w:val="center"/>
        <w:rPr>
          <w:rFonts w:hint="eastAsia" w:ascii="方正公文小标宋" w:hAnsi="方正公文小标宋" w:eastAsia="方正公文小标宋" w:cs="方正公文小标宋"/>
          <w:b w:val="0"/>
          <w:bCs/>
          <w:color w:val="000000"/>
          <w:sz w:val="44"/>
          <w:szCs w:val="44"/>
        </w:rPr>
      </w:pPr>
      <w:r>
        <w:rPr>
          <w:rFonts w:hint="eastAsia" w:ascii="方正公文小标宋" w:hAnsi="方正公文小标宋" w:eastAsia="方正公文小标宋" w:cs="方正公文小标宋"/>
          <w:b w:val="0"/>
          <w:bCs/>
          <w:color w:val="000000"/>
          <w:sz w:val="44"/>
          <w:szCs w:val="44"/>
        </w:rPr>
        <w:t>评标</w:t>
      </w:r>
      <w:r>
        <w:rPr>
          <w:rFonts w:hint="eastAsia" w:ascii="方正公文小标宋" w:hAnsi="方正公文小标宋" w:eastAsia="方正公文小标宋" w:cs="方正公文小标宋"/>
          <w:b w:val="0"/>
          <w:bCs/>
          <w:color w:val="000000"/>
          <w:sz w:val="44"/>
          <w:szCs w:val="44"/>
          <w:lang w:val="en-US" w:eastAsia="zh-CN"/>
        </w:rPr>
        <w:t>办</w:t>
      </w:r>
      <w:r>
        <w:rPr>
          <w:rFonts w:hint="eastAsia" w:ascii="方正公文小标宋" w:hAnsi="方正公文小标宋" w:eastAsia="方正公文小标宋" w:cs="方正公文小标宋"/>
          <w:b w:val="0"/>
          <w:bCs/>
          <w:color w:val="000000"/>
          <w:sz w:val="44"/>
          <w:szCs w:val="44"/>
        </w:rPr>
        <w:t>法</w:t>
      </w:r>
    </w:p>
    <w:p w14:paraId="1D3CF1F0">
      <w:pPr>
        <w:spacing w:line="500" w:lineRule="exact"/>
        <w:jc w:val="center"/>
        <w:rPr>
          <w:rFonts w:ascii="仿宋" w:hAnsi="仿宋" w:eastAsia="仿宋"/>
          <w:color w:val="000000"/>
          <w:sz w:val="28"/>
          <w:szCs w:val="28"/>
        </w:rPr>
      </w:pPr>
    </w:p>
    <w:p w14:paraId="274B21ED">
      <w:pPr>
        <w:pStyle w:val="4"/>
        <w:spacing w:before="0" w:beforeAutospacing="0" w:after="0" w:afterAutospacing="0" w:line="480" w:lineRule="exact"/>
        <w:ind w:firstLine="386" w:firstLineChars="138"/>
        <w:rPr>
          <w:rFonts w:ascii="仿宋" w:hAnsi="仿宋" w:eastAsia="仿宋"/>
          <w:bCs/>
          <w:color w:val="000000"/>
          <w:sz w:val="28"/>
          <w:szCs w:val="28"/>
        </w:rPr>
      </w:pPr>
      <w:r>
        <w:rPr>
          <w:rFonts w:hint="eastAsia" w:ascii="仿宋" w:hAnsi="仿宋" w:eastAsia="仿宋"/>
          <w:bCs/>
          <w:color w:val="000000"/>
          <w:sz w:val="28"/>
          <w:szCs w:val="28"/>
        </w:rPr>
        <w:t>一</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对进入详评的，采用百分制综合评分法。</w:t>
      </w:r>
    </w:p>
    <w:p w14:paraId="5BFC3B2A">
      <w:pPr>
        <w:pStyle w:val="4"/>
        <w:spacing w:before="0" w:beforeAutospacing="0" w:after="0" w:afterAutospacing="0" w:line="480" w:lineRule="exact"/>
        <w:ind w:firstLine="386" w:firstLineChars="138"/>
        <w:rPr>
          <w:rFonts w:ascii="仿宋" w:hAnsi="仿宋" w:eastAsia="仿宋"/>
          <w:bCs/>
          <w:color w:val="000000"/>
          <w:sz w:val="28"/>
          <w:szCs w:val="28"/>
        </w:rPr>
      </w:pPr>
      <w:r>
        <w:rPr>
          <w:rFonts w:hint="eastAsia" w:ascii="仿宋" w:hAnsi="仿宋" w:eastAsia="仿宋"/>
          <w:bCs/>
          <w:color w:val="000000"/>
          <w:sz w:val="28"/>
          <w:szCs w:val="28"/>
        </w:rPr>
        <w:t>二</w:t>
      </w:r>
      <w:r>
        <w:rPr>
          <w:rFonts w:hint="eastAsia" w:ascii="仿宋" w:hAnsi="仿宋" w:eastAsia="仿宋"/>
          <w:bCs/>
          <w:color w:val="000000"/>
          <w:sz w:val="28"/>
          <w:szCs w:val="28"/>
          <w:lang w:eastAsia="zh-CN"/>
        </w:rPr>
        <w:t>、</w:t>
      </w:r>
      <w:r>
        <w:rPr>
          <w:rFonts w:hint="eastAsia" w:ascii="仿宋" w:hAnsi="仿宋" w:eastAsia="仿宋"/>
          <w:bCs/>
          <w:color w:val="000000"/>
          <w:sz w:val="28"/>
          <w:szCs w:val="28"/>
        </w:rPr>
        <w:t>计分办法（按四舍五入取至百分位）：</w:t>
      </w:r>
    </w:p>
    <w:p w14:paraId="1B2D5888">
      <w:pPr>
        <w:pStyle w:val="4"/>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lang w:eastAsia="zh-CN"/>
        </w:rPr>
        <w:t>（</w:t>
      </w:r>
      <w:r>
        <w:rPr>
          <w:rFonts w:hint="eastAsia" w:ascii="仿宋" w:hAnsi="仿宋" w:eastAsia="仿宋"/>
          <w:bCs/>
          <w:color w:val="000000"/>
          <w:sz w:val="28"/>
          <w:szCs w:val="28"/>
          <w:lang w:val="en-US" w:eastAsia="zh-CN"/>
        </w:rPr>
        <w:t>一</w:t>
      </w:r>
      <w:r>
        <w:rPr>
          <w:rFonts w:hint="eastAsia" w:ascii="仿宋" w:hAnsi="仿宋" w:eastAsia="仿宋"/>
          <w:bCs/>
          <w:color w:val="000000"/>
          <w:sz w:val="28"/>
          <w:szCs w:val="28"/>
          <w:lang w:eastAsia="zh-CN"/>
        </w:rPr>
        <w:t>）</w:t>
      </w:r>
      <w:r>
        <w:rPr>
          <w:rFonts w:hint="eastAsia" w:ascii="仿宋" w:hAnsi="仿宋" w:eastAsia="仿宋"/>
          <w:b/>
          <w:color w:val="000000"/>
          <w:sz w:val="28"/>
          <w:szCs w:val="28"/>
        </w:rPr>
        <w:t>价格分……………………………………………</w:t>
      </w:r>
      <w:r>
        <w:rPr>
          <w:rFonts w:hint="eastAsia" w:ascii="仿宋" w:hAnsi="仿宋" w:eastAsia="仿宋"/>
          <w:b/>
          <w:color w:val="000000"/>
          <w:sz w:val="28"/>
          <w:szCs w:val="28"/>
          <w:lang w:val="en-US" w:eastAsia="zh-CN"/>
        </w:rPr>
        <w:t>10</w:t>
      </w:r>
      <w:r>
        <w:rPr>
          <w:rFonts w:hint="eastAsia" w:ascii="仿宋" w:hAnsi="仿宋" w:eastAsia="仿宋"/>
          <w:b/>
          <w:color w:val="000000"/>
          <w:sz w:val="28"/>
          <w:szCs w:val="28"/>
        </w:rPr>
        <w:t>分</w:t>
      </w:r>
    </w:p>
    <w:p w14:paraId="35AA6BED">
      <w:pPr>
        <w:pStyle w:val="4"/>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价格分计算方法：</w:t>
      </w:r>
    </w:p>
    <w:p w14:paraId="4058FBFE">
      <w:pPr>
        <w:pStyle w:val="4"/>
        <w:spacing w:before="0" w:beforeAutospacing="0" w:after="0" w:afterAutospacing="0" w:line="480" w:lineRule="exact"/>
        <w:ind w:firstLine="386" w:firstLineChars="138"/>
        <w:rPr>
          <w:rFonts w:ascii="仿宋" w:hAnsi="仿宋" w:eastAsia="仿宋"/>
          <w:bCs/>
          <w:color w:val="000000"/>
          <w:sz w:val="28"/>
          <w:szCs w:val="28"/>
        </w:rPr>
      </w:pP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ascii="仿宋" w:hAnsi="仿宋" w:eastAsia="仿宋"/>
          <w:bCs/>
          <w:color w:val="000000"/>
          <w:sz w:val="28"/>
          <w:szCs w:val="28"/>
        </w:rPr>
        <w:t xml:space="preserve"> </w:t>
      </w:r>
      <w:r>
        <w:rPr>
          <w:rFonts w:hint="eastAsia" w:ascii="仿宋" w:hAnsi="仿宋" w:eastAsia="仿宋"/>
          <w:bCs/>
          <w:color w:val="000000"/>
          <w:sz w:val="28"/>
          <w:szCs w:val="28"/>
        </w:rPr>
        <w:t>有效供应商最低竞标报价金额（万元）</w:t>
      </w:r>
    </w:p>
    <w:p w14:paraId="7D6011B8">
      <w:pPr>
        <w:pStyle w:val="4"/>
        <w:spacing w:before="0" w:beforeAutospacing="0" w:after="0" w:afterAutospacing="0" w:line="480" w:lineRule="exact"/>
        <w:ind w:firstLine="0" w:firstLineChars="0"/>
        <w:rPr>
          <w:rFonts w:ascii="仿宋" w:hAnsi="仿宋" w:eastAsia="仿宋"/>
          <w:bCs/>
          <w:color w:val="000000"/>
          <w:sz w:val="28"/>
          <w:szCs w:val="28"/>
        </w:rPr>
      </w:pPr>
      <w:r>
        <w:rPr>
          <w:rFonts w:hint="eastAsia" w:ascii="仿宋" w:hAnsi="仿宋" w:eastAsia="仿宋"/>
          <w:bCs/>
          <w:color w:val="000000"/>
          <w:sz w:val="28"/>
          <w:szCs w:val="28"/>
        </w:rPr>
        <w:t>某供应商价格分</w:t>
      </w:r>
      <w:r>
        <w:rPr>
          <w:rFonts w:ascii="仿宋" w:hAnsi="仿宋" w:eastAsia="仿宋"/>
          <w:bCs/>
          <w:color w:val="000000"/>
          <w:sz w:val="28"/>
          <w:szCs w:val="28"/>
        </w:rPr>
        <w:t xml:space="preserve">=  </w:t>
      </w:r>
      <w:r>
        <w:rPr>
          <w:rFonts w:hint="eastAsia" w:ascii="仿宋" w:hAnsi="仿宋" w:eastAsia="仿宋"/>
          <w:bCs/>
          <w:color w:val="000000"/>
          <w:sz w:val="28"/>
          <w:szCs w:val="28"/>
        </w:rPr>
        <w:t>——————————————————×</w:t>
      </w:r>
      <w:r>
        <w:rPr>
          <w:rFonts w:hint="eastAsia" w:ascii="仿宋" w:hAnsi="仿宋" w:eastAsia="仿宋"/>
          <w:bCs/>
          <w:color w:val="000000"/>
          <w:sz w:val="28"/>
          <w:szCs w:val="28"/>
          <w:lang w:val="en-US" w:eastAsia="zh-CN"/>
        </w:rPr>
        <w:t>10</w:t>
      </w:r>
      <w:r>
        <w:rPr>
          <w:rFonts w:hint="eastAsia" w:ascii="仿宋" w:hAnsi="仿宋" w:eastAsia="仿宋"/>
          <w:bCs/>
          <w:color w:val="000000"/>
          <w:sz w:val="28"/>
          <w:szCs w:val="28"/>
        </w:rPr>
        <w:t>分</w:t>
      </w:r>
    </w:p>
    <w:p w14:paraId="5DA83205">
      <w:pPr>
        <w:pStyle w:val="4"/>
        <w:spacing w:before="0" w:beforeAutospacing="0" w:after="0" w:afterAutospacing="0" w:line="480" w:lineRule="exact"/>
        <w:ind w:firstLine="386" w:firstLineChars="138"/>
        <w:rPr>
          <w:rFonts w:hint="eastAsia" w:ascii="仿宋" w:hAnsi="仿宋" w:eastAsia="仿宋"/>
          <w:bCs/>
          <w:color w:val="000000"/>
          <w:sz w:val="28"/>
          <w:szCs w:val="28"/>
        </w:rPr>
      </w:pPr>
      <w:r>
        <w:rPr>
          <w:rFonts w:ascii="仿宋" w:hAnsi="仿宋" w:eastAsia="仿宋"/>
          <w:bCs/>
          <w:color w:val="000000"/>
          <w:sz w:val="28"/>
          <w:szCs w:val="28"/>
        </w:rPr>
        <w:t xml:space="preserve">                 </w:t>
      </w:r>
      <w:r>
        <w:rPr>
          <w:rFonts w:hint="eastAsia" w:ascii="仿宋" w:hAnsi="仿宋" w:eastAsia="仿宋"/>
          <w:bCs/>
          <w:color w:val="000000"/>
          <w:sz w:val="28"/>
          <w:szCs w:val="28"/>
          <w:lang w:val="en-US" w:eastAsia="zh-CN"/>
        </w:rPr>
        <w:t xml:space="preserve">  </w:t>
      </w:r>
      <w:r>
        <w:rPr>
          <w:rFonts w:hint="eastAsia" w:ascii="仿宋" w:hAnsi="仿宋" w:eastAsia="仿宋"/>
          <w:bCs/>
          <w:color w:val="000000"/>
          <w:sz w:val="28"/>
          <w:szCs w:val="28"/>
        </w:rPr>
        <w:t>某有效供应商竞标报价金额（万元）</w:t>
      </w:r>
    </w:p>
    <w:p w14:paraId="207003F9">
      <w:pPr>
        <w:pStyle w:val="4"/>
        <w:spacing w:before="0" w:beforeAutospacing="0" w:after="0" w:afterAutospacing="0" w:line="480" w:lineRule="exact"/>
        <w:ind w:firstLine="0" w:firstLineChars="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二</w:t>
      </w:r>
      <w:r>
        <w:rPr>
          <w:rFonts w:hint="eastAsia" w:ascii="仿宋" w:hAnsi="仿宋" w:eastAsia="仿宋"/>
          <w:b/>
          <w:sz w:val="28"/>
          <w:szCs w:val="28"/>
          <w:lang w:eastAsia="zh-CN"/>
        </w:rPr>
        <w:t>）</w:t>
      </w:r>
      <w:r>
        <w:rPr>
          <w:rFonts w:hint="eastAsia" w:ascii="仿宋" w:hAnsi="仿宋" w:eastAsia="仿宋"/>
          <w:b/>
          <w:sz w:val="28"/>
          <w:szCs w:val="28"/>
        </w:rPr>
        <w:t>项目实施方案分</w:t>
      </w:r>
      <w:r>
        <w:rPr>
          <w:rFonts w:ascii="仿宋" w:hAnsi="仿宋" w:eastAsia="仿宋"/>
          <w:b/>
          <w:sz w:val="28"/>
          <w:szCs w:val="28"/>
        </w:rPr>
        <w:t>…………………………………</w:t>
      </w:r>
      <w:r>
        <w:rPr>
          <w:rFonts w:hint="eastAsia" w:ascii="仿宋" w:hAnsi="仿宋" w:eastAsia="仿宋"/>
          <w:b/>
          <w:sz w:val="28"/>
          <w:szCs w:val="28"/>
          <w:lang w:val="en-US" w:eastAsia="zh-CN"/>
        </w:rPr>
        <w:t>70</w:t>
      </w:r>
      <w:r>
        <w:rPr>
          <w:rFonts w:hint="eastAsia" w:ascii="仿宋" w:hAnsi="仿宋" w:eastAsia="仿宋"/>
          <w:b/>
          <w:sz w:val="28"/>
          <w:szCs w:val="28"/>
        </w:rPr>
        <w:t>分</w:t>
      </w:r>
    </w:p>
    <w:p w14:paraId="2A01D35C">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1.项目实施服务方案分（满分35分）</w:t>
      </w:r>
    </w:p>
    <w:p w14:paraId="793E407A">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根据供应商响应文件中针对本项目的项目实施服务方案分（对项目情况、效果分析和项目执行方案科学性、可行性）进行评审。</w:t>
      </w:r>
    </w:p>
    <w:p w14:paraId="1C9EE627">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一档（10分）：提供有</w:t>
      </w:r>
      <w:r>
        <w:rPr>
          <w:rFonts w:hint="default" w:ascii="仿宋" w:hAnsi="仿宋" w:eastAsia="仿宋" w:cs="宋体"/>
          <w:bCs/>
          <w:color w:val="000000"/>
          <w:kern w:val="0"/>
          <w:sz w:val="28"/>
          <w:szCs w:val="28"/>
          <w:lang w:val="en-US" w:eastAsia="zh-CN" w:bidi="ar-SA"/>
        </w:rPr>
        <w:t>项目实施服务</w:t>
      </w:r>
      <w:r>
        <w:rPr>
          <w:rFonts w:hint="eastAsia" w:ascii="仿宋" w:hAnsi="仿宋" w:eastAsia="仿宋" w:cs="宋体"/>
          <w:bCs/>
          <w:color w:val="000000"/>
          <w:kern w:val="0"/>
          <w:sz w:val="28"/>
          <w:szCs w:val="28"/>
          <w:lang w:val="en-US" w:eastAsia="zh-CN" w:bidi="ar-SA"/>
        </w:rPr>
        <w:t>方案，基本理解项目需求，对各项需求能作出基础响应，可完成项目实施需要。</w:t>
      </w:r>
    </w:p>
    <w:p w14:paraId="777BB4CF">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二档（20分）：提供较完善的</w:t>
      </w:r>
      <w:r>
        <w:rPr>
          <w:rFonts w:hint="default" w:ascii="仿宋" w:hAnsi="仿宋" w:eastAsia="仿宋" w:cs="宋体"/>
          <w:bCs/>
          <w:color w:val="000000"/>
          <w:kern w:val="0"/>
          <w:sz w:val="28"/>
          <w:szCs w:val="28"/>
          <w:lang w:val="en-US" w:eastAsia="zh-CN" w:bidi="ar-SA"/>
        </w:rPr>
        <w:t>项目实施服务方案</w:t>
      </w:r>
      <w:r>
        <w:rPr>
          <w:rFonts w:hint="eastAsia" w:ascii="仿宋" w:hAnsi="仿宋" w:eastAsia="仿宋" w:cs="宋体"/>
          <w:bCs/>
          <w:color w:val="000000"/>
          <w:kern w:val="0"/>
          <w:sz w:val="28"/>
          <w:szCs w:val="28"/>
          <w:lang w:val="en-US" w:eastAsia="zh-CN" w:bidi="ar-SA"/>
        </w:rPr>
        <w:t>，正确理解项目需求，有针对性的对各项需求进行响应，项目实施方案有进度安排、施工方案，满足项目实施需要。</w:t>
      </w:r>
    </w:p>
    <w:p w14:paraId="18420A9C">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三档（35分）：提供详细</w:t>
      </w:r>
      <w:r>
        <w:rPr>
          <w:rFonts w:hint="default" w:ascii="仿宋" w:hAnsi="仿宋" w:eastAsia="仿宋" w:cs="宋体"/>
          <w:bCs/>
          <w:color w:val="000000"/>
          <w:kern w:val="0"/>
          <w:sz w:val="28"/>
          <w:szCs w:val="28"/>
          <w:lang w:val="en-US" w:eastAsia="zh-CN" w:bidi="ar-SA"/>
        </w:rPr>
        <w:t>项目实施服务方案</w:t>
      </w:r>
      <w:r>
        <w:rPr>
          <w:rFonts w:hint="eastAsia" w:ascii="仿宋" w:hAnsi="仿宋" w:eastAsia="仿宋" w:cs="宋体"/>
          <w:bCs/>
          <w:color w:val="000000"/>
          <w:kern w:val="0"/>
          <w:sz w:val="28"/>
          <w:szCs w:val="28"/>
          <w:lang w:val="en-US" w:eastAsia="zh-CN" w:bidi="ar-SA"/>
        </w:rPr>
        <w:t>，深刻理解项目需求，制定科学、先进，具有很强的针对性、可行性和可操作性的响应方案，项目实施方案有清晰的进度安排、详细实施方案、项目执行监控方案、应急预案，活动方式具有创新性，全方位满足项目实施需要。</w:t>
      </w:r>
    </w:p>
    <w:p w14:paraId="189D496A">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注：供应商未提供方案或提供的方案不满足一档要求的，不得分。</w:t>
      </w:r>
    </w:p>
    <w:p w14:paraId="79EA61F4">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2.人员配备方案分（满分20分）</w:t>
      </w:r>
    </w:p>
    <w:p w14:paraId="558085AB">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（1）项目负责人</w:t>
      </w:r>
    </w:p>
    <w:p w14:paraId="1791F57E">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投入项目的负责人有同类项目活动组织经验，每提供一个经验证明的得2分，满分10分。（注：响应文件中须提供该人员参与过的相关项目合同复印件，无证明材料或无法体现该人员项目经验的不得分）。</w:t>
      </w:r>
    </w:p>
    <w:p w14:paraId="3DC3A875">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2）拟投入本项目服务团队人员中，除项目负责人外的其他服务人员，有同类项目活动组织经验的，每有1人得1分，最多得10分（注：响应文件中须提供该人员参与过的相关项目合同复印件，无证明材料或无法体现该人员项目经验的，该人员不予计分）。</w:t>
      </w:r>
    </w:p>
    <w:p w14:paraId="7D45004B">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3.项目质量与服务保证方案分（满分15分）</w:t>
      </w:r>
    </w:p>
    <w:p w14:paraId="0268982B">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根据供应商响应文件中针对本项目的售后服务方案进行评审。</w:t>
      </w:r>
    </w:p>
    <w:p w14:paraId="4C759FD8">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一档 (5分)：能提供基本的项目管理组织、质量管理保证措施，人员配备能够满足活动需要及所需。</w:t>
      </w:r>
    </w:p>
    <w:p w14:paraId="42DE7D73">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二档 (10分)：满足一档的基础上，建立有舆情机制，并提供有相对应措施，能够对突发舆情事件迅速响应，并能以最快速度解除不良舆论。</w:t>
      </w:r>
    </w:p>
    <w:p w14:paraId="27D3FCF9">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三档 (15分)：满足二档的基础上，能针对现场宣传活动涉及的安全、交通、卫生、医疗、突发事件等设置应急预案、配备人员、调度资源，保障现场活动顺利进行；并有具体的操作步骤，操作步骤逻辑清晰，方案具有可预见性。</w:t>
      </w:r>
    </w:p>
    <w:p w14:paraId="61FDB10B">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bCs/>
          <w:sz w:val="28"/>
          <w:szCs w:val="28"/>
          <w:lang w:val="en-US" w:eastAsia="zh-CN"/>
        </w:rPr>
      </w:pPr>
      <w:r>
        <w:rPr>
          <w:rFonts w:hint="eastAsia" w:ascii="仿宋" w:hAnsi="仿宋" w:eastAsia="仿宋" w:cs="宋体"/>
          <w:bCs/>
          <w:color w:val="000000"/>
          <w:kern w:val="0"/>
          <w:sz w:val="28"/>
          <w:szCs w:val="28"/>
          <w:lang w:val="en-US" w:eastAsia="zh-CN" w:bidi="ar-SA"/>
        </w:rPr>
        <w:t>注：供应商未提供方案或提供的方案不满足一档要求的，不得分。</w:t>
      </w:r>
    </w:p>
    <w:p w14:paraId="42A7D941">
      <w:pPr>
        <w:pStyle w:val="4"/>
        <w:spacing w:before="0" w:beforeAutospacing="0" w:after="0" w:afterAutospacing="0" w:line="480" w:lineRule="exact"/>
        <w:ind w:right="267" w:rightChars="127" w:firstLine="0" w:firstLineChars="0"/>
        <w:jc w:val="both"/>
        <w:outlineLvl w:val="0"/>
        <w:rPr>
          <w:rFonts w:hint="eastAsia" w:ascii="仿宋" w:hAnsi="仿宋" w:eastAsia="仿宋"/>
          <w:b/>
          <w:sz w:val="28"/>
          <w:szCs w:val="28"/>
        </w:rPr>
      </w:pPr>
      <w:r>
        <w:rPr>
          <w:rFonts w:hint="eastAsia" w:ascii="仿宋" w:hAnsi="仿宋" w:eastAsia="仿宋"/>
          <w:b/>
          <w:sz w:val="28"/>
          <w:szCs w:val="28"/>
          <w:lang w:val="en-US" w:eastAsia="zh-CN"/>
        </w:rPr>
        <w:t>（三）综合实力分</w:t>
      </w:r>
      <w:r>
        <w:rPr>
          <w:rFonts w:ascii="仿宋" w:hAnsi="仿宋" w:eastAsia="仿宋"/>
          <w:b/>
          <w:sz w:val="28"/>
          <w:szCs w:val="28"/>
        </w:rPr>
        <w:t>……………………………………</w:t>
      </w:r>
      <w:r>
        <w:rPr>
          <w:rFonts w:hint="eastAsia" w:ascii="仿宋" w:hAnsi="仿宋" w:eastAsia="仿宋"/>
          <w:b/>
          <w:sz w:val="28"/>
          <w:szCs w:val="28"/>
          <w:lang w:val="en-US" w:eastAsia="zh-CN"/>
        </w:rPr>
        <w:t>20</w:t>
      </w:r>
      <w:r>
        <w:rPr>
          <w:rFonts w:hint="eastAsia" w:ascii="仿宋" w:hAnsi="仿宋" w:eastAsia="仿宋"/>
          <w:b/>
          <w:sz w:val="28"/>
          <w:szCs w:val="28"/>
        </w:rPr>
        <w:t>分</w:t>
      </w:r>
    </w:p>
    <w:p w14:paraId="266CE92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Times New Roman"/>
          <w:b w:val="0"/>
          <w:bCs w:val="0"/>
          <w:kern w:val="0"/>
          <w:sz w:val="28"/>
          <w:szCs w:val="28"/>
          <w:highlight w:val="none"/>
          <w:lang w:val="en-US" w:eastAsia="zh-CN" w:bidi="ar-SA"/>
        </w:rPr>
      </w:pPr>
      <w:r>
        <w:rPr>
          <w:rFonts w:hint="eastAsia" w:ascii="仿宋" w:hAnsi="仿宋" w:eastAsia="仿宋" w:cs="Times New Roman"/>
          <w:b w:val="0"/>
          <w:bCs w:val="0"/>
          <w:kern w:val="0"/>
          <w:sz w:val="28"/>
          <w:szCs w:val="28"/>
          <w:highlight w:val="none"/>
          <w:lang w:val="en-US" w:eastAsia="zh-CN" w:bidi="ar-SA"/>
        </w:rPr>
        <w:t>供应商2022年以来有同类项目服务业绩的，每个合同得4分，满分20分。（以上以中标通知书或合同复印件为准，响应文件中须提供合同复印件，并加盖单位公章，原件备查）</w:t>
      </w:r>
      <w:bookmarkStart w:id="0" w:name="_GoBack"/>
      <w:bookmarkEnd w:id="0"/>
    </w:p>
    <w:p w14:paraId="6329518C">
      <w:pPr>
        <w:spacing w:line="480" w:lineRule="exact"/>
        <w:ind w:firstLine="562" w:firstLineChars="200"/>
        <w:jc w:val="left"/>
        <w:rPr>
          <w:rFonts w:hint="eastAsia" w:ascii="仿宋" w:hAnsi="仿宋" w:eastAsia="仿宋" w:cs="仿宋"/>
          <w:b/>
          <w:sz w:val="28"/>
          <w:szCs w:val="28"/>
          <w:lang w:eastAsia="zh-CN"/>
        </w:rPr>
      </w:pPr>
      <w:r>
        <w:rPr>
          <w:rFonts w:hint="eastAsia" w:ascii="仿宋" w:hAnsi="仿宋" w:eastAsia="仿宋"/>
          <w:b/>
          <w:bCs/>
          <w:kern w:val="2"/>
          <w:sz w:val="28"/>
          <w:szCs w:val="28"/>
          <w:lang w:val="en-US" w:eastAsia="zh-CN" w:bidi="ar-SA"/>
        </w:rPr>
        <w:t>（五）</w:t>
      </w:r>
      <w:r>
        <w:rPr>
          <w:rFonts w:hint="eastAsia" w:ascii="仿宋" w:hAnsi="仿宋" w:eastAsia="仿宋" w:cs="仿宋"/>
          <w:b/>
          <w:sz w:val="28"/>
          <w:szCs w:val="28"/>
        </w:rPr>
        <w:t>总得分＝1+2+3</w:t>
      </w:r>
      <w:r>
        <w:rPr>
          <w:rFonts w:hint="eastAsia" w:ascii="仿宋" w:hAnsi="仿宋" w:eastAsia="仿宋" w:cs="仿宋"/>
          <w:b/>
          <w:sz w:val="28"/>
          <w:szCs w:val="28"/>
          <w:lang w:eastAsia="zh-CN"/>
        </w:rPr>
        <w:t>。</w:t>
      </w:r>
    </w:p>
    <w:p w14:paraId="209B3359">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三、中标候选人推荐原则</w:t>
      </w:r>
    </w:p>
    <w:p w14:paraId="53987728">
      <w:pPr>
        <w:keepNext w:val="0"/>
        <w:keepLines w:val="0"/>
        <w:pageBreakBefore w:val="0"/>
        <w:widowControl w:val="0"/>
        <w:kinsoku/>
        <w:wordWrap/>
        <w:overflowPunct/>
        <w:topLinePunct w:val="0"/>
        <w:autoSpaceDE/>
        <w:autoSpaceDN/>
        <w:bidi w:val="0"/>
        <w:snapToGrid/>
        <w:spacing w:line="380" w:lineRule="exact"/>
        <w:ind w:firstLine="560" w:firstLineChars="200"/>
        <w:rPr>
          <w:rFonts w:hint="eastAsia" w:ascii="仿宋" w:hAnsi="仿宋" w:eastAsia="仿宋" w:cs="宋体"/>
          <w:bCs/>
          <w:color w:val="000000"/>
          <w:kern w:val="0"/>
          <w:sz w:val="28"/>
          <w:szCs w:val="28"/>
          <w:lang w:val="en-US" w:eastAsia="zh-CN" w:bidi="ar-SA"/>
        </w:rPr>
      </w:pPr>
      <w:r>
        <w:rPr>
          <w:rFonts w:hint="eastAsia" w:ascii="仿宋" w:hAnsi="仿宋" w:eastAsia="仿宋" w:cs="宋体"/>
          <w:bCs/>
          <w:color w:val="000000"/>
          <w:kern w:val="0"/>
          <w:sz w:val="28"/>
          <w:szCs w:val="28"/>
          <w:lang w:val="en-US" w:eastAsia="zh-CN" w:bidi="ar-SA"/>
        </w:rPr>
        <w:t>评标小组将根据得分由高到低排列次序（得分相同时，以竞标报价由低到高顺序排列；得分相同且竞标报价相同的，按技术分高低顺序排列）并推荐三名成交候选供应商。采购人应当确定磋商小组推荐排名第一的成交候选供应商为成交供应商。排名第一的成交候选供应商放弃成交，因不可抗力提出不能履行合同，或者采购文件规定应当提交履约保证金而在规定的期限内未能提交的，采购人可以确定排名第二的成交候选供应商为成交供应商。排名第二的成交候选供应商因前款规定的同样原因不能签订合同的，采购单位可以确定排名第三的成交候选供应商为成交供应商。</w:t>
      </w:r>
    </w:p>
    <w:sectPr>
      <w:pgSz w:w="11906" w:h="16838"/>
      <w:pgMar w:top="1247" w:right="136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B7A7F4-183E-4FA0-92C6-8E9F19254E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6686BC40-1DC8-4712-8239-D594261A93A3}"/>
  </w:font>
  <w:font w:name="仿宋">
    <w:panose1 w:val="02010609060101010101"/>
    <w:charset w:val="86"/>
    <w:family w:val="auto"/>
    <w:pitch w:val="default"/>
    <w:sig w:usb0="800002BF" w:usb1="38CF7CFA" w:usb2="00000016" w:usb3="00000000" w:csb0="00040001" w:csb1="00000000"/>
    <w:embedRegular r:id="rId3" w:fontKey="{397EF1D5-6A4A-4802-BA47-15FBA9C0C5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E671D"/>
    <w:rsid w:val="0FF27311"/>
    <w:rsid w:val="1A1C0222"/>
    <w:rsid w:val="1E290464"/>
    <w:rsid w:val="35F637BD"/>
    <w:rsid w:val="62081863"/>
    <w:rsid w:val="6E7D1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adjustRightInd w:val="0"/>
      <w:snapToGrid w:val="0"/>
      <w:spacing w:before="120" w:after="120"/>
      <w:outlineLvl w:val="3"/>
    </w:pPr>
    <w:rPr>
      <w:rFonts w:ascii="Arial" w:hAnsi="Arial"/>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1392</Words>
  <Characters>1420</Characters>
  <Lines>0</Lines>
  <Paragraphs>0</Paragraphs>
  <TotalTime>3</TotalTime>
  <ScaleCrop>false</ScaleCrop>
  <LinksUpToDate>false</LinksUpToDate>
  <CharactersWithSpaces>1463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2025-04-09T08:07:00Z</dcterms:created>
  <dc:creator>lenovo</dc:creator>
  <cp:lastModifiedBy>黄佟</cp:lastModifiedBy>
  <dcterms:modified xsi:type="dcterms:W3CDTF">2025-04-10T02:29:43Z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eyJoZGlkIjoiOTFmZGYzMzM4OTgwYmU4OWViN2ZmZTU0NTY5ZmVlMTIiLCJ1c2VySWQiOiIxNTc4NTU2MDcyIn0=</vt:lpwstr>
  </property>
  <property fmtid="{D5CDD505-2E9C-101B-9397-08002B2CF9AE}" pid="4" name="ICV">
    <vt:lpwstr>389E1808897149459AB74627CF7285F7_12</vt:lpwstr>
  </property>
</Properties>
</file>