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A617F">
      <w:pPr>
        <w:widowControl/>
        <w:spacing w:before="100" w:beforeAutospacing="1" w:after="100" w:afterAutospacing="1" w:line="560" w:lineRule="exact"/>
        <w:ind w:left="0"/>
        <w:jc w:val="left"/>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附件1</w:t>
      </w:r>
      <w:bookmarkStart w:id="0" w:name="_GoBack"/>
      <w:bookmarkEnd w:id="0"/>
    </w:p>
    <w:p w14:paraId="19DABF10">
      <w:pPr>
        <w:widowControl/>
        <w:spacing w:before="100" w:beforeAutospacing="1" w:after="100" w:afterAutospacing="1" w:line="560" w:lineRule="exact"/>
        <w:ind w:left="0"/>
        <w:jc w:val="center"/>
        <w:rPr>
          <w:rFonts w:hint="eastAsia" w:ascii="方正小标宋_GBK" w:hAnsi="方正小标宋_GBK" w:eastAsia="方正小标宋_GBK" w:cs="方正小标宋_GBK"/>
          <w:color w:val="000000"/>
          <w:kern w:val="0"/>
          <w:sz w:val="44"/>
          <w:szCs w:val="44"/>
          <w:highlight w:val="none"/>
        </w:rPr>
      </w:pPr>
      <w:r>
        <w:rPr>
          <w:rFonts w:hint="eastAsia" w:ascii="方正小标宋_GBK" w:hAnsi="方正小标宋_GBK" w:eastAsia="方正小标宋_GBK" w:cs="方正小标宋_GBK"/>
          <w:color w:val="000000"/>
          <w:kern w:val="0"/>
          <w:sz w:val="44"/>
          <w:szCs w:val="44"/>
          <w:highlight w:val="none"/>
        </w:rPr>
        <w:t xml:space="preserve"> 项目</w:t>
      </w:r>
      <w:r>
        <w:rPr>
          <w:rFonts w:hint="eastAsia" w:ascii="方正小标宋_GBK" w:hAnsi="方正小标宋_GBK" w:eastAsia="方正小标宋_GBK" w:cs="方正小标宋_GBK"/>
          <w:color w:val="auto"/>
          <w:kern w:val="0"/>
          <w:sz w:val="44"/>
          <w:szCs w:val="44"/>
          <w:highlight w:val="none"/>
          <w:lang w:val="en-US" w:eastAsia="zh-CN"/>
        </w:rPr>
        <w:t>要求</w:t>
      </w:r>
      <w:r>
        <w:rPr>
          <w:rFonts w:hint="eastAsia" w:ascii="方正小标宋_GBK" w:hAnsi="方正小标宋_GBK" w:eastAsia="方正小标宋_GBK" w:cs="方正小标宋_GBK"/>
          <w:color w:val="auto"/>
          <w:kern w:val="0"/>
          <w:sz w:val="44"/>
          <w:szCs w:val="44"/>
          <w:highlight w:val="none"/>
        </w:rPr>
        <w:t>及技术需求表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6875"/>
      </w:tblGrid>
      <w:tr w14:paraId="4F38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9" w:hRule="atLeast"/>
        </w:trPr>
        <w:tc>
          <w:tcPr>
            <w:tcW w:w="8528" w:type="dxa"/>
            <w:gridSpan w:val="2"/>
            <w:noWrap w:val="0"/>
            <w:vAlign w:val="center"/>
          </w:tcPr>
          <w:p w14:paraId="418A87BD">
            <w:pPr>
              <w:keepNext w:val="0"/>
              <w:keepLines w:val="0"/>
              <w:pageBreakBefore w:val="0"/>
              <w:widowControl/>
              <w:numPr>
                <w:ilvl w:val="0"/>
                <w:numId w:val="0"/>
              </w:numPr>
              <w:kinsoku/>
              <w:wordWrap/>
              <w:overflowPunct/>
              <w:topLinePunct w:val="0"/>
              <w:autoSpaceDE/>
              <w:autoSpaceDN/>
              <w:bidi w:val="0"/>
              <w:adjustRightInd/>
              <w:snapToGrid/>
              <w:spacing w:line="360" w:lineRule="atLeast"/>
              <w:ind w:firstLine="0" w:firstLineChars="0"/>
              <w:textAlignment w:val="auto"/>
              <w:rPr>
                <w:rFonts w:hint="eastAsia"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一、采购项目名称及内容</w:t>
            </w:r>
          </w:p>
          <w:p w14:paraId="43FBE27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一</w:t>
            </w: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val="en-US" w:eastAsia="zh-CN"/>
              </w:rPr>
              <w:t>自治区疾病预防控制中心消防设施维保服务</w:t>
            </w:r>
          </w:p>
          <w:p w14:paraId="10D1EF5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二</w:t>
            </w:r>
            <w:r>
              <w:rPr>
                <w:rFonts w:hint="eastAsia" w:ascii="宋体" w:hAnsi="宋体" w:eastAsia="宋体" w:cs="Times New Roman"/>
                <w:color w:val="auto"/>
                <w:sz w:val="21"/>
                <w:szCs w:val="21"/>
                <w:highlight w:val="none"/>
              </w:rPr>
              <w:t>）项目</w:t>
            </w:r>
            <w:r>
              <w:rPr>
                <w:rFonts w:hint="eastAsia" w:ascii="宋体" w:hAnsi="宋体" w:eastAsia="宋体" w:cs="Times New Roman"/>
                <w:color w:val="auto"/>
                <w:sz w:val="21"/>
                <w:szCs w:val="21"/>
                <w:highlight w:val="none"/>
                <w:lang w:val="en-US" w:eastAsia="zh-CN"/>
              </w:rPr>
              <w:t>实施范围</w:t>
            </w:r>
          </w:p>
          <w:p w14:paraId="7C01A96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1.金洲路办公区行政办公楼</w:t>
            </w:r>
          </w:p>
          <w:p w14:paraId="0121677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2.金洲路办公区实验综合大楼</w:t>
            </w:r>
          </w:p>
          <w:p w14:paraId="2A30879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3.金洲路办公区应急物资储备楼（含3楼信息科机房）</w:t>
            </w:r>
          </w:p>
          <w:p w14:paraId="65BD20A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4.金洲路办公区门诊平房（含职工食堂）</w:t>
            </w:r>
          </w:p>
          <w:p w14:paraId="721C397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5.桃源路办公区（门诊检验楼（三层）、门诊部（五层，第一、二层不属于范围）、计划免疫楼</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含老干科</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w:t>
            </w:r>
          </w:p>
          <w:p w14:paraId="306D69BC">
            <w:pPr>
              <w:widowControl/>
              <w:numPr>
                <w:ilvl w:val="0"/>
                <w:numId w:val="0"/>
              </w:numPr>
              <w:adjustRightInd w:val="0"/>
              <w:snapToGrid w:val="0"/>
              <w:spacing w:line="360" w:lineRule="exact"/>
              <w:ind w:firstLine="0" w:firstLineChars="0"/>
              <w:contextualSpacing/>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共约45000平方米。</w:t>
            </w:r>
          </w:p>
          <w:p w14:paraId="7E6C489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（三）</w:t>
            </w:r>
            <w:r>
              <w:rPr>
                <w:rFonts w:hint="eastAsia" w:ascii="宋体" w:hAnsi="宋体" w:eastAsia="宋体" w:cs="Times New Roman"/>
                <w:color w:val="auto"/>
                <w:sz w:val="21"/>
                <w:szCs w:val="21"/>
                <w:highlight w:val="none"/>
              </w:rPr>
              <w:t>维护保养服务形式</w:t>
            </w:r>
            <w:r>
              <w:rPr>
                <w:rFonts w:hint="eastAsia" w:ascii="宋体" w:hAnsi="宋体" w:eastAsia="宋体" w:cs="Times New Roman"/>
                <w:color w:val="auto"/>
                <w:sz w:val="21"/>
                <w:szCs w:val="21"/>
                <w:highlight w:val="none"/>
                <w:lang w:val="en-US" w:eastAsia="zh-CN"/>
              </w:rPr>
              <w:t>及内容</w:t>
            </w:r>
            <w:r>
              <w:rPr>
                <w:rFonts w:hint="eastAsia" w:ascii="宋体" w:hAnsi="宋体" w:eastAsia="宋体" w:cs="Times New Roman"/>
                <w:color w:val="auto"/>
                <w:sz w:val="21"/>
                <w:szCs w:val="21"/>
                <w:highlight w:val="none"/>
              </w:rPr>
              <w:t>：</w:t>
            </w:r>
          </w:p>
          <w:p w14:paraId="4AE54535">
            <w:pPr>
              <w:widowControl/>
              <w:numPr>
                <w:ilvl w:val="0"/>
                <w:numId w:val="0"/>
              </w:numPr>
              <w:adjustRightInd w:val="0"/>
              <w:snapToGrid w:val="0"/>
              <w:spacing w:line="360" w:lineRule="exact"/>
              <w:ind w:firstLine="0" w:firstLineChars="0"/>
              <w:contextualSpacing/>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维护保养服务范围（设施）一览表</w:t>
            </w:r>
          </w:p>
          <w:tbl>
            <w:tblPr>
              <w:tblStyle w:val="3"/>
              <w:tblpPr w:leftFromText="180" w:rightFromText="180" w:vertAnchor="text" w:horzAnchor="page" w:tblpX="134" w:tblpY="152"/>
              <w:tblOverlap w:val="never"/>
              <w:tblW w:w="6763" w:type="dxa"/>
              <w:tblInd w:w="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446"/>
              <w:gridCol w:w="5317"/>
            </w:tblGrid>
            <w:tr w14:paraId="070D6B77">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1F7159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5317"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57F91C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服务范围（设施）</w:t>
                  </w:r>
                </w:p>
              </w:tc>
            </w:tr>
            <w:tr w14:paraId="5E6B79EB">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6A4282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54DAD0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火灾自动报警系统</w:t>
                  </w:r>
                </w:p>
              </w:tc>
            </w:tr>
            <w:tr w14:paraId="5B09615F">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CF5106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70B6E7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喷水灭火系统</w:t>
                  </w:r>
                </w:p>
              </w:tc>
            </w:tr>
            <w:tr w14:paraId="33418DC0">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CDC5B8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605F6B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消火栓灭火系统</w:t>
                  </w:r>
                </w:p>
              </w:tc>
            </w:tr>
            <w:tr w14:paraId="152251EF">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14:paraId="6B5EB60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w:t>
                  </w:r>
                </w:p>
              </w:tc>
              <w:tc>
                <w:tcPr>
                  <w:tcW w:w="5317"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14:paraId="5198004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喷淋系统</w:t>
                  </w:r>
                </w:p>
              </w:tc>
            </w:tr>
            <w:tr w14:paraId="1F91521A">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single" w:color="auto" w:sz="4" w:space="0"/>
                    <w:left w:val="single" w:color="auto" w:sz="4" w:space="0"/>
                    <w:bottom w:val="single" w:color="auto" w:sz="4" w:space="0"/>
                    <w:right w:val="single" w:color="auto" w:sz="6" w:space="0"/>
                  </w:tcBorders>
                  <w:shd w:val="clear" w:color="auto" w:fill="FFFFFF"/>
                  <w:noWrap w:val="0"/>
                  <w:tcMar>
                    <w:top w:w="0" w:type="dxa"/>
                    <w:left w:w="105" w:type="dxa"/>
                    <w:bottom w:w="0" w:type="dxa"/>
                    <w:right w:w="105" w:type="dxa"/>
                  </w:tcMar>
                  <w:vAlign w:val="top"/>
                </w:tcPr>
                <w:p w14:paraId="28ED691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w:t>
                  </w:r>
                </w:p>
              </w:tc>
              <w:tc>
                <w:tcPr>
                  <w:tcW w:w="5317" w:type="dxa"/>
                  <w:tcBorders>
                    <w:top w:val="single" w:color="auto" w:sz="4" w:space="0"/>
                    <w:left w:val="nil"/>
                    <w:bottom w:val="single" w:color="auto" w:sz="4" w:space="0"/>
                    <w:right w:val="single" w:color="auto" w:sz="4" w:space="0"/>
                  </w:tcBorders>
                  <w:shd w:val="clear" w:color="auto" w:fill="FFFFFF"/>
                  <w:noWrap w:val="0"/>
                  <w:tcMar>
                    <w:top w:w="0" w:type="dxa"/>
                    <w:left w:w="105" w:type="dxa"/>
                    <w:bottom w:w="0" w:type="dxa"/>
                    <w:right w:w="105" w:type="dxa"/>
                  </w:tcMar>
                  <w:vAlign w:val="center"/>
                </w:tcPr>
                <w:p w14:paraId="371B528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气体灭火</w:t>
                  </w:r>
                </w:p>
              </w:tc>
            </w:tr>
            <w:tr w14:paraId="0339494E">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single" w:color="auto" w:sz="4"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2AF040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w:t>
                  </w:r>
                </w:p>
              </w:tc>
              <w:tc>
                <w:tcPr>
                  <w:tcW w:w="5317" w:type="dxa"/>
                  <w:tcBorders>
                    <w:top w:val="single" w:color="auto" w:sz="4"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495860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防火分隔系统</w:t>
                  </w:r>
                </w:p>
              </w:tc>
            </w:tr>
            <w:tr w14:paraId="12F97458">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E0F9EE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BEE871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防排烟系统</w:t>
                  </w:r>
                </w:p>
              </w:tc>
            </w:tr>
            <w:tr w14:paraId="59FE84B2">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7C07E4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E9C576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应急照明及疏散指示</w:t>
                  </w:r>
                </w:p>
              </w:tc>
            </w:tr>
            <w:tr w14:paraId="7C23DC93">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36F3FE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C5F073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消防通讯事故广播</w:t>
                  </w:r>
                </w:p>
              </w:tc>
            </w:tr>
            <w:tr w14:paraId="09026F53">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A17A9F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903A3CF">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移动灭火器材</w:t>
                  </w:r>
                </w:p>
              </w:tc>
            </w:tr>
            <w:tr w14:paraId="0EA01AF0">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0F1751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81BF82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其它消防设施</w:t>
                  </w:r>
                </w:p>
              </w:tc>
            </w:tr>
            <w:tr w14:paraId="2F78E423">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14:paraId="0B23059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w:t>
                  </w:r>
                </w:p>
              </w:tc>
              <w:tc>
                <w:tcPr>
                  <w:tcW w:w="5317"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14:paraId="76FE166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技术咨询</w:t>
                  </w:r>
                </w:p>
              </w:tc>
            </w:tr>
            <w:tr w14:paraId="7CA0CCE5">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14:paraId="5C8754B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w:t>
                  </w:r>
                </w:p>
              </w:tc>
              <w:tc>
                <w:tcPr>
                  <w:tcW w:w="53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14:paraId="0D6B138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消防控制室操作培训</w:t>
                  </w:r>
                </w:p>
              </w:tc>
            </w:tr>
            <w:tr w14:paraId="5C6956F7">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14:paraId="7B27602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14</w:t>
                  </w:r>
                </w:p>
              </w:tc>
              <w:tc>
                <w:tcPr>
                  <w:tcW w:w="53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14:paraId="44E4D22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陪同应检服务</w:t>
                  </w:r>
                </w:p>
              </w:tc>
            </w:tr>
            <w:tr w14:paraId="0F9597C7">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14:paraId="0094073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15</w:t>
                  </w:r>
                </w:p>
              </w:tc>
              <w:tc>
                <w:tcPr>
                  <w:tcW w:w="53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14:paraId="70B5D19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其它</w:t>
                  </w:r>
                </w:p>
              </w:tc>
            </w:tr>
          </w:tbl>
          <w:p w14:paraId="13BECF0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18C3906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4DDCA99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01960EC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793C39D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42FE507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2E236B4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69BB996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7FF0860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227574C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45518C9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10768AF3">
            <w:pPr>
              <w:numPr>
                <w:ilvl w:val="0"/>
                <w:numId w:val="0"/>
              </w:numPr>
              <w:adjustRightInd w:val="0"/>
              <w:snapToGrid w:val="0"/>
              <w:spacing w:line="360" w:lineRule="exact"/>
              <w:contextualSpacing/>
              <w:rPr>
                <w:rFonts w:hint="eastAsia" w:ascii="宋体" w:hAnsi="宋体" w:eastAsia="宋体" w:cs="Times New Roman"/>
                <w:color w:val="auto"/>
                <w:sz w:val="21"/>
                <w:szCs w:val="21"/>
                <w:highlight w:val="none"/>
                <w:lang w:val="en-US" w:eastAsia="zh-CN"/>
              </w:rPr>
            </w:pPr>
          </w:p>
          <w:p w14:paraId="26CA8ADE">
            <w:pPr>
              <w:numPr>
                <w:ilvl w:val="0"/>
                <w:numId w:val="0"/>
              </w:numPr>
              <w:adjustRightInd w:val="0"/>
              <w:snapToGrid w:val="0"/>
              <w:spacing w:line="360" w:lineRule="exact"/>
              <w:contextualSpacing/>
              <w:rPr>
                <w:rFonts w:hint="eastAsia" w:ascii="宋体" w:hAnsi="宋体" w:eastAsia="宋体" w:cs="Times New Roman"/>
                <w:color w:val="auto"/>
                <w:sz w:val="21"/>
                <w:szCs w:val="21"/>
                <w:highlight w:val="none"/>
                <w:lang w:val="en-US" w:eastAsia="zh-CN"/>
              </w:rPr>
            </w:pPr>
          </w:p>
          <w:p w14:paraId="7DCCB73F">
            <w:pPr>
              <w:numPr>
                <w:ilvl w:val="0"/>
                <w:numId w:val="0"/>
              </w:numPr>
              <w:adjustRightInd w:val="0"/>
              <w:snapToGrid w:val="0"/>
              <w:spacing w:line="360" w:lineRule="exact"/>
              <w:contextualSpacing/>
              <w:rPr>
                <w:rFonts w:hint="eastAsia" w:ascii="宋体" w:hAnsi="宋体" w:eastAsia="宋体" w:cs="Times New Roman"/>
                <w:color w:val="auto"/>
                <w:sz w:val="21"/>
                <w:szCs w:val="21"/>
                <w:highlight w:val="none"/>
                <w:lang w:val="en-US" w:eastAsia="zh-CN"/>
              </w:rPr>
            </w:pPr>
          </w:p>
          <w:p w14:paraId="6C376930">
            <w:pPr>
              <w:numPr>
                <w:ilvl w:val="0"/>
                <w:numId w:val="0"/>
              </w:numPr>
              <w:adjustRightInd w:val="0"/>
              <w:snapToGrid w:val="0"/>
              <w:spacing w:line="360" w:lineRule="exact"/>
              <w:contextualSpacing/>
              <w:rPr>
                <w:rFonts w:hint="eastAsia" w:ascii="宋体" w:hAnsi="宋体" w:eastAsia="宋体" w:cs="Times New Roman"/>
                <w:color w:val="auto"/>
                <w:sz w:val="21"/>
                <w:szCs w:val="21"/>
                <w:highlight w:val="none"/>
                <w:lang w:val="en-US" w:eastAsia="zh-CN"/>
              </w:rPr>
            </w:pPr>
          </w:p>
          <w:p w14:paraId="2C9A6143">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60E3E30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45CCBC9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346E047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按《广西建筑消防设施维护保养操作规程》，提供日常维护保养、故障维修、</w:t>
            </w:r>
            <w:r>
              <w:rPr>
                <w:rFonts w:hint="eastAsia" w:ascii="宋体" w:hAnsi="宋体" w:eastAsia="宋体" w:cs="Times New Roman"/>
                <w:color w:val="auto"/>
                <w:sz w:val="21"/>
                <w:szCs w:val="21"/>
                <w:highlight w:val="none"/>
                <w:lang w:val="en-US" w:eastAsia="zh-CN"/>
              </w:rPr>
              <w:t>2小时内快速响应、</w:t>
            </w:r>
            <w:r>
              <w:rPr>
                <w:rFonts w:hint="eastAsia" w:ascii="宋体" w:hAnsi="宋体" w:eastAsia="宋体" w:cs="Times New Roman"/>
                <w:color w:val="auto"/>
                <w:sz w:val="21"/>
                <w:szCs w:val="21"/>
                <w:highlight w:val="none"/>
              </w:rPr>
              <w:t>24小时应急处理服务及约定的技术咨询服务事项。</w:t>
            </w:r>
          </w:p>
          <w:p w14:paraId="66E795F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3.配合中心组织开展消防知识培训和消防技能演练（包括但不限于</w:t>
            </w:r>
            <w:r>
              <w:rPr>
                <w:rFonts w:hint="eastAsia" w:ascii="宋体" w:hAnsi="宋体" w:eastAsia="宋体" w:cs="Times New Roman"/>
                <w:color w:val="auto"/>
                <w:sz w:val="21"/>
                <w:szCs w:val="21"/>
                <w:highlight w:val="none"/>
              </w:rPr>
              <w:t>消防疏散、初期火灾自救、逃生技能训练</w:t>
            </w:r>
            <w:r>
              <w:rPr>
                <w:rFonts w:hint="eastAsia" w:ascii="宋体" w:hAnsi="宋体" w:eastAsia="宋体" w:cs="Times New Roman"/>
                <w:color w:val="auto"/>
                <w:sz w:val="21"/>
                <w:szCs w:val="21"/>
                <w:highlight w:val="none"/>
                <w:lang w:val="en-US" w:eastAsia="zh-CN"/>
              </w:rPr>
              <w:t>等内容），并免费提供所需的相关演练设施（灭火器等），每年至少2次，每次不少于60分钟。</w:t>
            </w:r>
          </w:p>
          <w:p w14:paraId="3CBEC89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四</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技术要求：</w:t>
            </w:r>
          </w:p>
          <w:p w14:paraId="2C7E813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火灾自动报警系统</w:t>
            </w:r>
          </w:p>
          <w:p w14:paraId="5FB71FA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每月检查火灾报警控制器自检功能、消音</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复位、故障报警、火灾优先功能、报警记忆和主备电源自动转换</w:t>
            </w:r>
            <w:r>
              <w:rPr>
                <w:rFonts w:hint="eastAsia" w:ascii="宋体" w:hAnsi="宋体" w:eastAsia="宋体" w:cs="Times New Roman"/>
                <w:color w:val="auto"/>
                <w:sz w:val="21"/>
                <w:szCs w:val="21"/>
                <w:highlight w:val="none"/>
                <w:lang w:val="en-US" w:eastAsia="zh-CN"/>
              </w:rPr>
              <w:t>等</w:t>
            </w:r>
            <w:r>
              <w:rPr>
                <w:rFonts w:hint="eastAsia" w:ascii="宋体" w:hAnsi="宋体" w:eastAsia="宋体" w:cs="Times New Roman"/>
                <w:color w:val="auto"/>
                <w:sz w:val="21"/>
                <w:szCs w:val="21"/>
                <w:highlight w:val="none"/>
              </w:rPr>
              <w:t>功能。</w:t>
            </w:r>
          </w:p>
          <w:p w14:paraId="3591064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每月检查消防控制室或消防值班工作环境以及火灾报警控制器、联动。控制器、层显（或区域控制器）、手动报警按钮等是否处于正常完好状态。</w:t>
            </w:r>
          </w:p>
          <w:p w14:paraId="56B6FFD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季度检查下列功能：采用检测设备分期分批试验探测器的工作情况，检测数量不少于总数的30%。试验手动报警按钮报警功能，抽检数量不少于总数的30%。对主机备用电源进行充放电试验。自动或手动试验相关消防联动控制设备的控制和显示功能。</w:t>
            </w:r>
            <w:r>
              <w:rPr>
                <w:rFonts w:hint="eastAsia" w:ascii="宋体" w:hAnsi="宋体" w:eastAsia="宋体" w:cs="Times New Roman"/>
                <w:color w:val="auto"/>
                <w:sz w:val="21"/>
                <w:szCs w:val="21"/>
                <w:highlight w:val="none"/>
                <w:lang w:val="en-US" w:eastAsia="zh-CN"/>
              </w:rPr>
              <w:t>全年抽检数量覆盖总数的100%。</w:t>
            </w:r>
          </w:p>
          <w:p w14:paraId="2FAF4E0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自动喷水灭火系统</w:t>
            </w:r>
          </w:p>
          <w:p w14:paraId="1C0F4CE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每月检查消防泵房工作环境及消防泵、稳压设备、电源控制柜、湿式报警阀、管网阀门、喷头、水泵接合器、储水设施等是否处于正常完好状态。试验内燃机驱动的消防泵能否正常工作。</w:t>
            </w:r>
          </w:p>
          <w:p w14:paraId="179AEBA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下列功能：启动消防泵，当消防泵为自动控制启动时，应模拟自动控制的条件进行启动。设备用泵时，应同时试验主、备泵的切换功能。利用报警阀上的放水阀试验系统的供水情况。利用末端放水装置放水，验证水流指示器和压力开关的报警功能、自动启泵功能和信号显示，抽查数量不少于总数的20%。</w:t>
            </w:r>
            <w:r>
              <w:rPr>
                <w:rFonts w:hint="eastAsia" w:ascii="宋体" w:hAnsi="宋体" w:eastAsia="宋体" w:cs="Times New Roman"/>
                <w:color w:val="auto"/>
                <w:sz w:val="21"/>
                <w:szCs w:val="21"/>
                <w:highlight w:val="none"/>
                <w:lang w:val="en-US" w:eastAsia="zh-CN"/>
              </w:rPr>
              <w:t>全年抽检数量覆盖总数的100%。</w:t>
            </w:r>
          </w:p>
          <w:p w14:paraId="64568F7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消火栓系统</w:t>
            </w:r>
          </w:p>
          <w:p w14:paraId="52072CF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每月检查消防泵工作环境及消防泵、稳压设备、电源控制柜、管网、阀门、水泵接合器、室内外消火栓、储水设施等是否处于正常完好的状态。</w:t>
            </w:r>
          </w:p>
          <w:p w14:paraId="1E778B1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下列功能：启动消防泵，当消防水泵为自动控制启动时，应模拟自动控制条件进行启动。设备用泵时，应同时试验主、备泵的切换功能。试验远距离启泵按钮启动消防泵，抽检数量不得少于总数的20%。屋顶消火栓出水，检查管网压力和水质。</w:t>
            </w:r>
          </w:p>
          <w:p w14:paraId="5B7F03D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气体灭火系统</w:t>
            </w:r>
          </w:p>
          <w:p w14:paraId="74D33D9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每月检查贮瓶间及防护区的工作环境以及贮气瓶、选择阀、液体单向阀、高压软管、集流管、阀驱动装置、管网、喷嘴、紧急启动按钮、声光报警装置等是否处于正常完好状态。</w:t>
            </w:r>
          </w:p>
          <w:p w14:paraId="3AD6300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每半年检查下列功能：对灭火器剂贮存器进行秤重检查，灭火剂净重不得小于设计量的95%。对每个防护区进行一次模拟自动启动试验，如有问题，则应对相关防护区进行一次模拟喷气试验。</w:t>
            </w:r>
          </w:p>
          <w:p w14:paraId="13DD4FB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防火分隔系统</w:t>
            </w:r>
          </w:p>
          <w:p w14:paraId="205B6ED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每月检查防火门、防火卷帘门周围有无影响门正常启闭的障碍物、门能否处于正常启、闭状态，门的附件是否齐全完好。</w:t>
            </w:r>
          </w:p>
          <w:p w14:paraId="231D291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每季度检查下列功能：试验自动方式启动防火门、防火卷帘门。抽检数量不少于总数的30%。用手动接钮启动防火卷帘门。抽检数不少于总数的30%。</w:t>
            </w:r>
            <w:r>
              <w:rPr>
                <w:rFonts w:hint="eastAsia" w:ascii="宋体" w:hAnsi="宋体" w:eastAsia="宋体" w:cs="Times New Roman"/>
                <w:color w:val="auto"/>
                <w:sz w:val="21"/>
                <w:szCs w:val="21"/>
                <w:highlight w:val="none"/>
                <w:lang w:val="en-US" w:eastAsia="zh-CN"/>
              </w:rPr>
              <w:t>全年抽检数量覆盖总数的100%。</w:t>
            </w:r>
          </w:p>
          <w:p w14:paraId="6A4FEF53">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防排烟系统</w:t>
            </w:r>
          </w:p>
          <w:p w14:paraId="19B84C8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每月检查送风、排烟机房工作环境以及送风机、排烟机、电源控制柜、送风口、排烟口、防火阀等是否处于正常完好状态。</w:t>
            </w:r>
          </w:p>
          <w:p w14:paraId="5723090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每半年检查下列功能：试验自动方式打开排烟口、启动送风机、排烟机。抽检楼层数量不少于总数50%。</w:t>
            </w:r>
            <w:r>
              <w:rPr>
                <w:rFonts w:hint="eastAsia" w:ascii="宋体" w:hAnsi="宋体" w:eastAsia="宋体" w:cs="Times New Roman"/>
                <w:color w:val="auto"/>
                <w:sz w:val="21"/>
                <w:szCs w:val="21"/>
                <w:highlight w:val="none"/>
                <w:lang w:val="en-US" w:eastAsia="zh-CN"/>
              </w:rPr>
              <w:t>全年抽检数量覆盖总数的100%。</w:t>
            </w:r>
            <w:r>
              <w:rPr>
                <w:rFonts w:hint="eastAsia" w:ascii="宋体" w:hAnsi="宋体" w:eastAsia="宋体" w:cs="Times New Roman"/>
                <w:color w:val="auto"/>
                <w:sz w:val="21"/>
                <w:szCs w:val="21"/>
                <w:highlight w:val="none"/>
              </w:rPr>
              <w:t>试验自动方式关闭空调系统、电动防火阀。试验手动方式关闭防火阀，抽检数量不少于总数的20%。</w:t>
            </w:r>
          </w:p>
          <w:p w14:paraId="719B4D5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应急照明疏散指示</w:t>
            </w:r>
          </w:p>
          <w:p w14:paraId="08AD51B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每月检查安全出口、疏散通道、重要场所的应急照明和疏散指示标志是否处于正常完好状态。</w:t>
            </w:r>
          </w:p>
          <w:p w14:paraId="13338EE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每月试验应急照明和疏散指示灯的工作照度和疏散照度。抽检数量不少于总数的20%。</w:t>
            </w:r>
            <w:r>
              <w:rPr>
                <w:rFonts w:hint="eastAsia" w:ascii="宋体" w:hAnsi="宋体" w:eastAsia="宋体" w:cs="Times New Roman"/>
                <w:color w:val="auto"/>
                <w:sz w:val="21"/>
                <w:szCs w:val="21"/>
                <w:highlight w:val="none"/>
                <w:lang w:val="en-US" w:eastAsia="zh-CN"/>
              </w:rPr>
              <w:t>全年抽检数量覆盖总数的100%。</w:t>
            </w:r>
          </w:p>
          <w:p w14:paraId="22C3157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消防通讯事故广播</w:t>
            </w:r>
          </w:p>
          <w:p w14:paraId="6D9C738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每月检查电话插孔、重要场所的对讲电话、播音设备、扬声器是否处于正常完好状态。</w:t>
            </w:r>
          </w:p>
          <w:p w14:paraId="47B7763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每季度检查下列功能：试验电话插孔和对讲电话的通话质量，抽检数量不少于总数的30%。试验选层广播。抽检数量不少于总数的30%。试验从背景音乐状态下强切至事故应急广播状态的功能。</w:t>
            </w:r>
          </w:p>
          <w:p w14:paraId="2DCCB38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移动灭火器材</w:t>
            </w:r>
          </w:p>
          <w:p w14:paraId="7BB131A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每月检查灭火器种类、数量、设置位置、标志等是否符合要求。</w:t>
            </w:r>
          </w:p>
          <w:p w14:paraId="6277E0B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每季度检查灭火器压力、重量、有效期等必要时做喷射试验。抽检数量不少于总数的30%。</w:t>
            </w:r>
            <w:r>
              <w:rPr>
                <w:rFonts w:hint="eastAsia" w:ascii="宋体" w:hAnsi="宋体" w:eastAsia="宋体" w:cs="Times New Roman"/>
                <w:color w:val="auto"/>
                <w:sz w:val="21"/>
                <w:szCs w:val="21"/>
                <w:highlight w:val="none"/>
                <w:lang w:val="en-US" w:eastAsia="zh-CN"/>
              </w:rPr>
              <w:t>全年抽检数量覆盖总数的100%。</w:t>
            </w:r>
          </w:p>
          <w:p w14:paraId="72EA08E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五</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档案文件要求：</w:t>
            </w:r>
          </w:p>
          <w:p w14:paraId="70B69E4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成交人必须</w:t>
            </w:r>
            <w:r>
              <w:rPr>
                <w:rFonts w:hint="eastAsia" w:ascii="宋体" w:hAnsi="宋体" w:eastAsia="宋体" w:cs="Times New Roman"/>
                <w:color w:val="auto"/>
                <w:sz w:val="21"/>
                <w:szCs w:val="21"/>
                <w:highlight w:val="none"/>
                <w:lang w:val="en-US" w:eastAsia="zh-CN"/>
              </w:rPr>
              <w:t>根据自治区消防标准化建设要求</w:t>
            </w:r>
            <w:r>
              <w:rPr>
                <w:rFonts w:hint="eastAsia" w:ascii="宋体" w:hAnsi="宋体" w:eastAsia="宋体" w:cs="Times New Roman"/>
                <w:color w:val="auto"/>
                <w:sz w:val="21"/>
                <w:szCs w:val="21"/>
                <w:highlight w:val="none"/>
              </w:rPr>
              <w:t>为采购人建立建全各类消防管理档案：</w:t>
            </w:r>
          </w:p>
          <w:p w14:paraId="1EB5BC4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每月都有检查以及检查记录，内容要反应真实的设备运行现场情况，对于发现的安全隐患如果不能及时处理要及时向采购人反映并及时提出维修方案</w:t>
            </w:r>
            <w:r>
              <w:rPr>
                <w:rFonts w:hint="eastAsia" w:ascii="宋体" w:hAnsi="宋体" w:eastAsia="宋体" w:cs="Times New Roman"/>
                <w:color w:val="auto"/>
                <w:sz w:val="21"/>
                <w:szCs w:val="21"/>
                <w:highlight w:val="none"/>
                <w:lang w:val="en-US" w:eastAsia="zh-CN"/>
              </w:rPr>
              <w:t>和工作建议</w:t>
            </w:r>
            <w:r>
              <w:rPr>
                <w:rFonts w:hint="eastAsia" w:ascii="宋体" w:hAnsi="宋体" w:eastAsia="宋体" w:cs="Times New Roman"/>
                <w:color w:val="auto"/>
                <w:sz w:val="21"/>
                <w:szCs w:val="21"/>
                <w:highlight w:val="none"/>
              </w:rPr>
              <w:t>，做好详细记录。</w:t>
            </w:r>
          </w:p>
          <w:p w14:paraId="7396504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20" w:firstLineChars="20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每次检查结束后都要做详细的维修或保养记录并双方签字认可，做到工作记录健全，原始记录存档以备日后查询。</w:t>
            </w:r>
          </w:p>
          <w:p w14:paraId="6651BD11">
            <w:pPr>
              <w:numPr>
                <w:ilvl w:val="0"/>
                <w:numId w:val="0"/>
              </w:numPr>
              <w:adjustRightInd w:val="0"/>
              <w:snapToGrid w:val="0"/>
              <w:spacing w:line="360" w:lineRule="exact"/>
              <w:ind w:firstLine="420" w:firstLineChars="200"/>
              <w:contextualSpacing/>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 w:val="21"/>
                <w:szCs w:val="21"/>
                <w:highlight w:val="none"/>
                <w:lang w:val="en-US" w:eastAsia="zh-CN"/>
              </w:rPr>
              <w:t>每半年提交一份工作小结，年底提交一份年度工作总结</w:t>
            </w:r>
          </w:p>
          <w:p w14:paraId="5EFA164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消防重点管理档案包括以下内容：</w:t>
            </w:r>
          </w:p>
          <w:p w14:paraId="6F6A411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建立消防安全制度</w:t>
            </w:r>
            <w:r>
              <w:rPr>
                <w:rFonts w:hint="eastAsia" w:ascii="宋体" w:hAnsi="宋体" w:eastAsia="宋体" w:cs="Times New Roman"/>
                <w:color w:val="auto"/>
                <w:sz w:val="21"/>
                <w:szCs w:val="21"/>
                <w:highlight w:val="none"/>
                <w:lang w:eastAsia="zh-CN"/>
              </w:rPr>
              <w:t>；</w:t>
            </w:r>
          </w:p>
          <w:p w14:paraId="4952228F">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消防设备设施的配置及使用情况</w:t>
            </w:r>
            <w:r>
              <w:rPr>
                <w:rFonts w:hint="eastAsia" w:ascii="宋体" w:hAnsi="宋体" w:eastAsia="宋体" w:cs="Times New Roman"/>
                <w:color w:val="auto"/>
                <w:sz w:val="21"/>
                <w:szCs w:val="21"/>
                <w:highlight w:val="none"/>
                <w:lang w:eastAsia="zh-CN"/>
              </w:rPr>
              <w:t>；</w:t>
            </w:r>
          </w:p>
          <w:p w14:paraId="1239A01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灭火和应急疏散方案消防管理人员责任人员概况。</w:t>
            </w:r>
          </w:p>
          <w:p w14:paraId="480179F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维护保养报告要做到全面，详实，把维保前后的单位情况都详细记录下来，以供维保、维修、查询方便。</w:t>
            </w:r>
          </w:p>
          <w:p w14:paraId="4570D041">
            <w:pPr>
              <w:widowControl/>
              <w:numPr>
                <w:ilvl w:val="0"/>
                <w:numId w:val="0"/>
              </w:numPr>
              <w:adjustRightInd w:val="0"/>
              <w:snapToGrid w:val="0"/>
              <w:spacing w:line="360" w:lineRule="exact"/>
              <w:ind w:firstLine="0" w:firstLineChars="0"/>
              <w:contextualSpacing/>
              <w:rPr>
                <w:rFonts w:ascii="宋体" w:hAnsi="宋体"/>
                <w:color w:val="auto"/>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维护保养报告和各项管理制度。</w:t>
            </w:r>
          </w:p>
        </w:tc>
      </w:tr>
      <w:tr w14:paraId="6974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8" w:type="dxa"/>
            <w:gridSpan w:val="2"/>
            <w:noWrap w:val="0"/>
            <w:vAlign w:val="center"/>
          </w:tcPr>
          <w:p w14:paraId="2DED124C">
            <w:pPr>
              <w:spacing w:line="360" w:lineRule="atLeast"/>
              <w:rPr>
                <w:rFonts w:hint="eastAsia" w:ascii="宋体" w:hAnsi="宋体"/>
                <w:b/>
                <w:color w:val="auto"/>
                <w:szCs w:val="21"/>
                <w:highlight w:val="none"/>
              </w:rPr>
            </w:pPr>
            <w:r>
              <w:rPr>
                <w:rFonts w:hint="eastAsia" w:ascii="宋体" w:hAnsi="宋体"/>
                <w:b/>
                <w:color w:val="auto"/>
                <w:szCs w:val="21"/>
                <w:highlight w:val="none"/>
              </w:rPr>
              <w:t>二、商务条款</w:t>
            </w:r>
          </w:p>
        </w:tc>
      </w:tr>
      <w:tr w14:paraId="6155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noWrap w:val="0"/>
            <w:vAlign w:val="center"/>
          </w:tcPr>
          <w:p w14:paraId="627B2272">
            <w:pPr>
              <w:spacing w:line="360" w:lineRule="atLeas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维保服务期</w:t>
            </w:r>
          </w:p>
          <w:p w14:paraId="49D472D8">
            <w:pPr>
              <w:spacing w:line="360" w:lineRule="atLeast"/>
              <w:jc w:val="center"/>
              <w:rPr>
                <w:rFonts w:ascii="宋体" w:hAnsi="宋体"/>
                <w:color w:val="auto"/>
                <w:szCs w:val="21"/>
                <w:highlight w:val="none"/>
              </w:rPr>
            </w:pPr>
            <w:r>
              <w:rPr>
                <w:rFonts w:hint="eastAsia" w:ascii="宋体" w:hAnsi="宋体"/>
                <w:color w:val="auto"/>
                <w:szCs w:val="21"/>
                <w:highlight w:val="none"/>
              </w:rPr>
              <w:t>及地点</w:t>
            </w:r>
          </w:p>
        </w:tc>
        <w:tc>
          <w:tcPr>
            <w:tcW w:w="6875" w:type="dxa"/>
            <w:noWrap w:val="0"/>
            <w:vAlign w:val="center"/>
          </w:tcPr>
          <w:p w14:paraId="211733F5">
            <w:pPr>
              <w:widowControl/>
              <w:numPr>
                <w:ilvl w:val="0"/>
                <w:numId w:val="0"/>
              </w:numPr>
              <w:adjustRightInd w:val="0"/>
              <w:snapToGrid w:val="0"/>
              <w:spacing w:line="360" w:lineRule="auto"/>
              <w:ind w:firstLine="0" w:firstLineChars="0"/>
              <w:contextualSpacing/>
              <w:rPr>
                <w:rFonts w:hint="default" w:ascii="宋体" w:hAnsi="宋体" w:eastAsia="宋体" w:cs="Times New Roman"/>
                <w:color w:val="auto"/>
                <w:sz w:val="21"/>
                <w:szCs w:val="21"/>
                <w:highlight w:val="none"/>
                <w:lang w:val="en-US" w:eastAsia="zh-CN"/>
              </w:rPr>
            </w:pPr>
            <w:r>
              <w:rPr>
                <w:rFonts w:hint="eastAsia" w:ascii="宋体" w:hAnsi="宋体"/>
                <w:b/>
                <w:bCs/>
                <w:color w:val="auto"/>
                <w:szCs w:val="21"/>
                <w:highlight w:val="none"/>
                <w:lang w:val="en-US" w:eastAsia="zh-CN"/>
              </w:rPr>
              <w:t>1.维保服务期</w:t>
            </w:r>
            <w:r>
              <w:rPr>
                <w:rFonts w:hint="eastAsia" w:ascii="宋体" w:hAnsi="宋体"/>
                <w:b/>
                <w:bCs/>
                <w:color w:val="auto"/>
                <w:szCs w:val="21"/>
                <w:highlight w:val="none"/>
              </w:rPr>
              <w:t>：</w:t>
            </w:r>
            <w:r>
              <w:rPr>
                <w:rFonts w:hint="eastAsia" w:ascii="宋体" w:hAnsi="宋体" w:eastAsia="宋体" w:cs="Times New Roman"/>
                <w:color w:val="auto"/>
                <w:kern w:val="2"/>
                <w:sz w:val="21"/>
                <w:szCs w:val="21"/>
                <w:highlight w:val="none"/>
                <w:lang w:val="en-US" w:eastAsia="zh-CN"/>
              </w:rPr>
              <w:t>自合同签订生效之日起壹年。</w:t>
            </w:r>
          </w:p>
          <w:p w14:paraId="75E5E8C6">
            <w:pPr>
              <w:widowControl/>
              <w:numPr>
                <w:ilvl w:val="0"/>
                <w:numId w:val="0"/>
              </w:numPr>
              <w:adjustRightInd w:val="0"/>
              <w:snapToGrid w:val="0"/>
              <w:spacing w:line="360" w:lineRule="auto"/>
              <w:contextualSpacing/>
              <w:rPr>
                <w:rFonts w:ascii="宋体" w:hAnsi="宋体"/>
                <w:color w:val="auto"/>
                <w:szCs w:val="21"/>
                <w:highlight w:val="none"/>
              </w:rPr>
            </w:pPr>
            <w:r>
              <w:rPr>
                <w:rFonts w:hint="eastAsia" w:ascii="宋体" w:hAnsi="宋体"/>
                <w:b/>
                <w:bCs/>
                <w:color w:val="auto"/>
                <w:szCs w:val="21"/>
                <w:highlight w:val="none"/>
                <w:lang w:val="en-US" w:eastAsia="zh-CN"/>
              </w:rPr>
              <w:t>2.</w:t>
            </w:r>
            <w:r>
              <w:rPr>
                <w:rFonts w:hint="eastAsia" w:ascii="宋体" w:hAnsi="宋体"/>
                <w:b/>
                <w:bCs/>
                <w:color w:val="auto"/>
                <w:szCs w:val="21"/>
                <w:highlight w:val="none"/>
              </w:rPr>
              <w:t>服务地点：</w:t>
            </w:r>
            <w:r>
              <w:rPr>
                <w:rFonts w:hint="eastAsia" w:ascii="宋体" w:hAnsi="宋体"/>
                <w:color w:val="auto"/>
                <w:szCs w:val="21"/>
                <w:highlight w:val="none"/>
              </w:rPr>
              <w:t>广西南宁市采购人指定地点。</w:t>
            </w:r>
          </w:p>
        </w:tc>
      </w:tr>
      <w:tr w14:paraId="3399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noWrap w:val="0"/>
            <w:vAlign w:val="center"/>
          </w:tcPr>
          <w:p w14:paraId="4467B7F9">
            <w:pPr>
              <w:spacing w:line="360" w:lineRule="atLeast"/>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付款方式</w:t>
            </w:r>
          </w:p>
        </w:tc>
        <w:tc>
          <w:tcPr>
            <w:tcW w:w="6875" w:type="dxa"/>
            <w:noWrap w:val="0"/>
            <w:vAlign w:val="center"/>
          </w:tcPr>
          <w:p w14:paraId="255ADF3C">
            <w:pPr>
              <w:widowControl/>
              <w:numPr>
                <w:ilvl w:val="0"/>
                <w:numId w:val="0"/>
              </w:numPr>
              <w:adjustRightInd w:val="0"/>
              <w:snapToGrid w:val="0"/>
              <w:spacing w:line="360" w:lineRule="auto"/>
              <w:ind w:firstLine="420" w:firstLineChars="200"/>
              <w:contextualSpacing/>
              <w:rPr>
                <w:rFonts w:hint="eastAsia" w:ascii="宋体" w:hAnsi="宋体" w:eastAsia="宋体" w:cs="Times New Roman"/>
                <w:color w:val="auto"/>
                <w:szCs w:val="21"/>
                <w:highlight w:val="none"/>
                <w:lang w:val="en-US"/>
              </w:rPr>
            </w:pPr>
            <w:r>
              <w:rPr>
                <w:rFonts w:hint="eastAsia" w:ascii="宋体" w:hAnsi="宋体" w:eastAsia="宋体" w:cs="Times New Roman"/>
                <w:color w:val="auto"/>
                <w:kern w:val="2"/>
                <w:sz w:val="21"/>
                <w:szCs w:val="21"/>
                <w:highlight w:val="none"/>
                <w:lang w:val="en-US" w:eastAsia="zh-CN"/>
              </w:rPr>
              <w:t>采购人按半年支付维保服务费用，具体支付的时间和金额为：合同签订生效后6个月，供应商向采购人递交</w:t>
            </w:r>
            <w:r>
              <w:rPr>
                <w:rFonts w:hint="eastAsia" w:ascii="宋体" w:hAnsi="宋体" w:eastAsia="宋体" w:cs="Times New Roman"/>
                <w:color w:val="auto"/>
                <w:kern w:val="2"/>
                <w:sz w:val="21"/>
                <w:szCs w:val="21"/>
                <w:highlight w:val="none"/>
              </w:rPr>
              <w:t>项目阶段性验收</w:t>
            </w:r>
            <w:r>
              <w:rPr>
                <w:rFonts w:hint="eastAsia" w:ascii="宋体" w:hAnsi="宋体" w:eastAsia="宋体" w:cs="Times New Roman"/>
                <w:color w:val="auto"/>
                <w:kern w:val="2"/>
                <w:sz w:val="21"/>
                <w:szCs w:val="21"/>
                <w:highlight w:val="none"/>
                <w:lang w:val="en-US" w:eastAsia="zh-CN"/>
              </w:rPr>
              <w:t>报告，验收合格后采购人向供应商</w:t>
            </w:r>
            <w:r>
              <w:rPr>
                <w:rFonts w:hint="eastAsia" w:ascii="宋体" w:hAnsi="宋体" w:eastAsia="宋体" w:cs="Times New Roman"/>
                <w:color w:val="auto"/>
                <w:kern w:val="2"/>
                <w:sz w:val="21"/>
                <w:szCs w:val="21"/>
                <w:highlight w:val="none"/>
              </w:rPr>
              <w:t>支付合同</w:t>
            </w:r>
            <w:r>
              <w:rPr>
                <w:rFonts w:hint="eastAsia" w:ascii="宋体" w:hAnsi="宋体" w:eastAsia="宋体" w:cs="Times New Roman"/>
                <w:color w:val="auto"/>
                <w:kern w:val="2"/>
                <w:sz w:val="21"/>
                <w:szCs w:val="21"/>
                <w:highlight w:val="none"/>
                <w:lang w:val="en-US" w:eastAsia="zh-CN"/>
              </w:rPr>
              <w:t>款的</w:t>
            </w:r>
            <w:r>
              <w:rPr>
                <w:rFonts w:hint="eastAsia" w:ascii="宋体" w:hAnsi="宋体" w:eastAsia="宋体" w:cs="Times New Roman"/>
                <w:color w:val="auto"/>
                <w:kern w:val="2"/>
                <w:sz w:val="21"/>
                <w:szCs w:val="21"/>
                <w:highlight w:val="none"/>
              </w:rPr>
              <w:t>50%；</w:t>
            </w:r>
            <w:r>
              <w:rPr>
                <w:rFonts w:hint="eastAsia" w:ascii="宋体" w:hAnsi="宋体" w:eastAsia="宋体" w:cs="Times New Roman"/>
                <w:color w:val="auto"/>
                <w:kern w:val="2"/>
                <w:sz w:val="21"/>
                <w:szCs w:val="21"/>
                <w:highlight w:val="none"/>
                <w:lang w:val="en-US" w:eastAsia="zh-CN"/>
              </w:rPr>
              <w:t>维保服务项目</w:t>
            </w:r>
            <w:r>
              <w:rPr>
                <w:rFonts w:hint="eastAsia" w:ascii="宋体" w:hAnsi="宋体" w:eastAsia="宋体" w:cs="Times New Roman"/>
                <w:color w:val="auto"/>
                <w:kern w:val="2"/>
                <w:sz w:val="21"/>
                <w:szCs w:val="21"/>
                <w:highlight w:val="none"/>
              </w:rPr>
              <w:t>结束后</w:t>
            </w:r>
            <w:r>
              <w:rPr>
                <w:rFonts w:hint="eastAsia" w:ascii="宋体" w:hAnsi="宋体" w:eastAsia="宋体" w:cs="Times New Roman"/>
                <w:color w:val="auto"/>
                <w:kern w:val="2"/>
                <w:sz w:val="21"/>
                <w:szCs w:val="21"/>
                <w:highlight w:val="none"/>
                <w:lang w:val="en-US" w:eastAsia="zh-CN"/>
              </w:rPr>
              <w:t>供应商向采购人递交</w:t>
            </w:r>
            <w:r>
              <w:rPr>
                <w:rFonts w:hint="eastAsia" w:ascii="宋体" w:hAnsi="宋体" w:eastAsia="宋体" w:cs="Times New Roman"/>
                <w:color w:val="auto"/>
                <w:kern w:val="2"/>
                <w:sz w:val="21"/>
                <w:szCs w:val="21"/>
                <w:highlight w:val="none"/>
              </w:rPr>
              <w:t>项目验收报告</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验收合格后采购人向供应商</w:t>
            </w:r>
            <w:r>
              <w:rPr>
                <w:rFonts w:hint="eastAsia" w:ascii="宋体" w:hAnsi="宋体" w:eastAsia="宋体" w:cs="Times New Roman"/>
                <w:color w:val="auto"/>
                <w:kern w:val="2"/>
                <w:sz w:val="21"/>
                <w:szCs w:val="21"/>
                <w:highlight w:val="none"/>
              </w:rPr>
              <w:t>支付合同</w:t>
            </w:r>
            <w:r>
              <w:rPr>
                <w:rFonts w:hint="eastAsia" w:ascii="宋体" w:hAnsi="宋体" w:eastAsia="宋体" w:cs="Times New Roman"/>
                <w:color w:val="auto"/>
                <w:kern w:val="2"/>
                <w:sz w:val="21"/>
                <w:szCs w:val="21"/>
                <w:highlight w:val="none"/>
                <w:lang w:val="en-US" w:eastAsia="zh-CN"/>
              </w:rPr>
              <w:t>余款</w:t>
            </w:r>
            <w:r>
              <w:rPr>
                <w:rFonts w:hint="eastAsia" w:ascii="宋体" w:hAnsi="宋体" w:eastAsia="宋体" w:cs="Times New Roman"/>
                <w:color w:val="auto"/>
                <w:kern w:val="2"/>
                <w:sz w:val="21"/>
                <w:szCs w:val="21"/>
                <w:highlight w:val="none"/>
              </w:rPr>
              <w:t>。</w:t>
            </w:r>
          </w:p>
        </w:tc>
      </w:tr>
      <w:tr w14:paraId="79B6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noWrap w:val="0"/>
            <w:vAlign w:val="center"/>
          </w:tcPr>
          <w:p w14:paraId="7B875981">
            <w:pPr>
              <w:spacing w:line="360" w:lineRule="atLeast"/>
              <w:jc w:val="center"/>
              <w:rPr>
                <w:rFonts w:ascii="宋体" w:hAnsi="宋体"/>
                <w:color w:val="auto"/>
                <w:szCs w:val="21"/>
                <w:highlight w:val="none"/>
              </w:rPr>
            </w:pPr>
            <w:r>
              <w:rPr>
                <w:rFonts w:hint="eastAsia" w:ascii="宋体" w:hAnsi="宋体"/>
                <w:color w:val="auto"/>
                <w:szCs w:val="21"/>
                <w:highlight w:val="none"/>
              </w:rPr>
              <w:t>报价要求</w:t>
            </w:r>
          </w:p>
        </w:tc>
        <w:tc>
          <w:tcPr>
            <w:tcW w:w="6875" w:type="dxa"/>
            <w:noWrap w:val="0"/>
            <w:vAlign w:val="center"/>
          </w:tcPr>
          <w:p w14:paraId="7B9C1870">
            <w:pPr>
              <w:spacing w:line="360" w:lineRule="atLeast"/>
              <w:rPr>
                <w:rFonts w:ascii="宋体" w:hAnsi="宋体"/>
                <w:color w:val="auto"/>
                <w:szCs w:val="21"/>
                <w:highlight w:val="none"/>
              </w:rPr>
            </w:pPr>
            <w:r>
              <w:rPr>
                <w:rFonts w:hint="eastAsia" w:ascii="宋体" w:hAnsi="宋体"/>
                <w:color w:val="auto"/>
                <w:szCs w:val="21"/>
                <w:highlight w:val="none"/>
              </w:rPr>
              <w:t>报价要求：</w:t>
            </w:r>
            <w:r>
              <w:rPr>
                <w:rFonts w:hint="eastAsia" w:ascii="宋体" w:hAnsi="宋体"/>
                <w:color w:val="auto"/>
                <w:szCs w:val="21"/>
                <w:highlight w:val="none"/>
              </w:rPr>
              <w:tab/>
            </w:r>
          </w:p>
          <w:p w14:paraId="6722766C">
            <w:pPr>
              <w:spacing w:line="360" w:lineRule="atLeas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报价文件要求全部服务所需的费用</w:t>
            </w:r>
            <w:r>
              <w:rPr>
                <w:rFonts w:hint="eastAsia" w:ascii="宋体" w:hAnsi="宋体"/>
                <w:color w:val="auto"/>
                <w:szCs w:val="21"/>
                <w:highlight w:val="none"/>
                <w:lang w:eastAsia="zh-CN"/>
              </w:rPr>
              <w:t>。</w:t>
            </w:r>
          </w:p>
          <w:p w14:paraId="4BB091BC">
            <w:pPr>
              <w:spacing w:line="360" w:lineRule="atLeas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履行合同所有相关服务所需的费用</w:t>
            </w:r>
            <w:r>
              <w:rPr>
                <w:rFonts w:hint="eastAsia" w:ascii="宋体" w:hAnsi="宋体"/>
                <w:color w:val="auto"/>
                <w:szCs w:val="21"/>
                <w:highlight w:val="none"/>
                <w:lang w:eastAsia="zh-CN"/>
              </w:rPr>
              <w:t>。</w:t>
            </w:r>
          </w:p>
          <w:p w14:paraId="07A5FBAF">
            <w:pPr>
              <w:spacing w:line="360" w:lineRule="atLeas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所有的税费</w:t>
            </w:r>
            <w:r>
              <w:rPr>
                <w:rFonts w:hint="eastAsia" w:ascii="宋体" w:hAnsi="宋体"/>
                <w:color w:val="auto"/>
                <w:szCs w:val="21"/>
                <w:highlight w:val="none"/>
                <w:lang w:eastAsia="zh-CN"/>
              </w:rPr>
              <w:t>。</w:t>
            </w:r>
          </w:p>
          <w:p w14:paraId="7F05B56E">
            <w:pPr>
              <w:spacing w:line="360" w:lineRule="atLeas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其他一切隐含及不可预见的费用。</w:t>
            </w:r>
          </w:p>
        </w:tc>
      </w:tr>
    </w:tbl>
    <w:p w14:paraId="2158C8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3B6B9AF-BB73-4912-AD79-34DD0DA586DD}"/>
  </w:font>
  <w:font w:name="方正小标宋_GBK">
    <w:panose1 w:val="02000000000000000000"/>
    <w:charset w:val="86"/>
    <w:family w:val="auto"/>
    <w:pitch w:val="default"/>
    <w:sig w:usb0="A00002BF" w:usb1="38CF7CFA" w:usb2="00082016" w:usb3="00000000" w:csb0="00040001" w:csb1="00000000"/>
    <w:embedRegular r:id="rId2" w:fontKey="{CD8F7297-C882-4363-8DB1-0006C2B5A9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4A3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2025-04-09T08:04:57Z</dcterms:created>
  <dc:creator>lenovo</dc:creator>
  <cp:lastModifiedBy>黄佟</cp:lastModifiedBy>
  <dcterms:modified xsi:type="dcterms:W3CDTF">2025-04-09T08:05:06Z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27A5EE3B21C748AA8B018E48E4B9F32D_12</vt:lpwstr>
  </property>
</Properties>
</file>