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lang w:eastAsia="zh-CN"/>
        </w:rPr>
        <w:t>附件：</w:t>
      </w:r>
    </w:p>
    <w:p>
      <w:pPr>
        <w:spacing w:line="520" w:lineRule="exact"/>
        <w:ind w:left="0" w:firstLine="880" w:firstLineChars="200"/>
        <w:jc w:val="right"/>
        <w:rPr>
          <w:rFonts w:hint="eastAsia" w:ascii="小标宋" w:hAnsi="小标宋" w:eastAsia="小标宋" w:cs="小标宋"/>
          <w:b/>
          <w:sz w:val="44"/>
          <w:szCs w:val="44"/>
        </w:rPr>
      </w:pPr>
      <w:r>
        <w:rPr>
          <w:rFonts w:hint="eastAsia" w:ascii="小标宋" w:hAnsi="小标宋" w:eastAsia="小标宋" w:cs="小标宋"/>
          <w:b/>
          <w:sz w:val="44"/>
          <w:szCs w:val="44"/>
        </w:rPr>
        <w:t>中心机房运维管理和电子设备维修保养</w:t>
      </w:r>
    </w:p>
    <w:p>
      <w:pPr>
        <w:snapToGrid w:val="0"/>
        <w:ind w:left="420"/>
        <w:jc w:val="center"/>
        <w:rPr>
          <w:rFonts w:hint="eastAsia" w:ascii="小标宋" w:hAnsi="小标宋" w:eastAsia="小标宋" w:cs="小标宋"/>
          <w:sz w:val="44"/>
          <w:szCs w:val="44"/>
          <w:lang w:eastAsia="zh-CN"/>
        </w:rPr>
      </w:pPr>
      <w:r>
        <w:rPr>
          <w:rFonts w:hint="eastAsia" w:ascii="小标宋" w:hAnsi="小标宋" w:eastAsia="小标宋" w:cs="小标宋"/>
          <w:b/>
          <w:sz w:val="44"/>
          <w:szCs w:val="44"/>
        </w:rPr>
        <w:t>服务外包项目</w:t>
      </w:r>
      <w:r>
        <w:rPr>
          <w:rFonts w:hint="eastAsia" w:ascii="小标宋" w:hAnsi="小标宋" w:eastAsia="小标宋" w:cs="小标宋"/>
          <w:b/>
          <w:sz w:val="44"/>
          <w:szCs w:val="44"/>
          <w:lang w:val="en-US" w:eastAsia="zh-CN"/>
        </w:rPr>
        <w:t>需求</w:t>
      </w:r>
    </w:p>
    <w:p>
      <w:pPr>
        <w:snapToGrid w:val="0"/>
        <w:spacing w:line="480" w:lineRule="exact"/>
        <w:ind w:left="0" w:firstLine="560" w:firstLineChars="200"/>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一、</w:t>
      </w:r>
      <w:r>
        <w:rPr>
          <w:rFonts w:hint="eastAsia" w:ascii="黑体" w:hAnsi="黑体" w:eastAsia="黑体" w:cs="黑体"/>
          <w:sz w:val="30"/>
          <w:szCs w:val="30"/>
        </w:rPr>
        <w:t>维保项目概述</w:t>
      </w:r>
    </w:p>
    <w:p>
      <w:pPr>
        <w:keepNext w:val="0"/>
        <w:keepLines w:val="0"/>
        <w:pageBreakBefore w:val="0"/>
        <w:widowControl w:val="0"/>
        <w:kinsoku/>
        <w:wordWrap/>
        <w:overflowPunct/>
        <w:topLinePunct w:val="0"/>
        <w:autoSpaceDE/>
        <w:autoSpaceDN/>
        <w:bidi w:val="0"/>
        <w:adjustRightInd/>
        <w:snapToGrid w:val="0"/>
        <w:spacing w:line="52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了保障和提高中心的IT服务质量，解决当前中心运维管理工作服务方面日益增长的需求和有限的提供能力之间的矛盾，计划将电子信息、机房基础设施等维护工作进行外包，由专业IT公司安排技术服务工程师进行驻场服务，提高中心的软、硬件的运行维护效率，确保各类信息系统正常运行。</w:t>
      </w:r>
    </w:p>
    <w:p>
      <w:pPr>
        <w:keepNext w:val="0"/>
        <w:keepLines w:val="0"/>
        <w:pageBreakBefore w:val="0"/>
        <w:widowControl w:val="0"/>
        <w:kinsoku/>
        <w:wordWrap/>
        <w:overflowPunct/>
        <w:topLinePunct w:val="0"/>
        <w:autoSpaceDE/>
        <w:autoSpaceDN/>
        <w:bidi w:val="0"/>
        <w:adjustRightInd/>
        <w:snapToGrid w:val="0"/>
        <w:spacing w:line="520" w:lineRule="exact"/>
        <w:ind w:left="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二、维保服务工作范围</w:t>
      </w:r>
    </w:p>
    <w:p>
      <w:pPr>
        <w:keepNext w:val="0"/>
        <w:keepLines w:val="0"/>
        <w:pageBreakBefore w:val="0"/>
        <w:widowControl w:val="0"/>
        <w:kinsoku/>
        <w:wordWrap/>
        <w:overflowPunct/>
        <w:topLinePunct w:val="0"/>
        <w:autoSpaceDE/>
        <w:autoSpaceDN/>
        <w:bidi w:val="0"/>
        <w:adjustRightInd/>
        <w:snapToGrid w:val="0"/>
        <w:spacing w:line="52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负责中心计算机机房（数据中心机房、备份机房、视频机房）定期维护、巡检及故障处理工作，确保中心整个网络信息系统基础设施的正常运行。按照业主实际工作需求，提供上门的现场巡检、维修调试、故障恢复、操作系统的安装、现场培训等服务，及时发现并协调相关技术团队处置存在问题，确保中心机房内部的所有支持网络信息系统正常运转的关键信息基础设施，包含有消防、电力、空调、环境等，全年安全、持续、稳定的提供服务。</w:t>
      </w:r>
    </w:p>
    <w:p>
      <w:pPr>
        <w:keepNext w:val="0"/>
        <w:keepLines w:val="0"/>
        <w:pageBreakBefore w:val="0"/>
        <w:widowControl w:val="0"/>
        <w:kinsoku/>
        <w:wordWrap/>
        <w:overflowPunct/>
        <w:topLinePunct w:val="0"/>
        <w:autoSpaceDE/>
        <w:autoSpaceDN/>
        <w:bidi w:val="0"/>
        <w:adjustRightInd/>
        <w:snapToGrid w:val="0"/>
        <w:spacing w:line="52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负责我中心的现有的电子设备（台式电脑、笔记本电脑、打印机、扫描仪等等，详见中心电子信息类设备清单）维修保养具体工作实施，安排专业技术人员驻场开展设备日常维保工作，及时处理中心各科所提交的设备维修申请，修复设备或者网络故障，提高维保工作效率，确保中心职工的电子信息设备正常使用。</w:t>
      </w:r>
    </w:p>
    <w:p>
      <w:pPr>
        <w:keepNext w:val="0"/>
        <w:keepLines w:val="0"/>
        <w:pageBreakBefore w:val="0"/>
        <w:widowControl w:val="0"/>
        <w:kinsoku/>
        <w:wordWrap/>
        <w:overflowPunct/>
        <w:topLinePunct w:val="0"/>
        <w:autoSpaceDE/>
        <w:autoSpaceDN/>
        <w:bidi w:val="0"/>
        <w:adjustRightInd/>
        <w:snapToGrid w:val="0"/>
        <w:spacing w:line="520" w:lineRule="exact"/>
        <w:ind w:left="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三、维保服务工作周期</w:t>
      </w:r>
    </w:p>
    <w:p>
      <w:pPr>
        <w:keepNext w:val="0"/>
        <w:keepLines w:val="0"/>
        <w:pageBreakBefore w:val="0"/>
        <w:widowControl w:val="0"/>
        <w:kinsoku/>
        <w:wordWrap/>
        <w:overflowPunct/>
        <w:topLinePunct w:val="0"/>
        <w:autoSpaceDE/>
        <w:autoSpaceDN/>
        <w:bidi w:val="0"/>
        <w:adjustRightInd/>
        <w:snapToGrid w:val="0"/>
        <w:spacing w:line="520" w:lineRule="exact"/>
        <w:ind w:left="0" w:firstLine="600" w:firstLineChars="200"/>
        <w:textAlignment w:val="auto"/>
        <w:rPr>
          <w:rFonts w:ascii="黑体" w:hAnsi="黑体" w:eastAsia="黑体" w:cs="黑体"/>
          <w:sz w:val="30"/>
          <w:szCs w:val="30"/>
        </w:rPr>
      </w:pPr>
      <w:r>
        <w:rPr>
          <w:rFonts w:hint="eastAsia" w:ascii="仿宋" w:hAnsi="仿宋" w:eastAsia="仿宋" w:cs="仿宋"/>
          <w:sz w:val="30"/>
          <w:szCs w:val="30"/>
        </w:rPr>
        <w:t>维保服务工作周期为自签订合同之日起壹年。</w:t>
      </w:r>
    </w:p>
    <w:p>
      <w:pPr>
        <w:snapToGrid w:val="0"/>
        <w:spacing w:line="480" w:lineRule="exact"/>
        <w:ind w:left="0" w:firstLine="560" w:firstLineChars="200"/>
        <w:rPr>
          <w:rFonts w:hint="eastAsia" w:ascii="黑体" w:hAnsi="黑体" w:eastAsia="黑体" w:cs="黑体"/>
          <w:sz w:val="28"/>
          <w:szCs w:val="28"/>
        </w:rPr>
      </w:pPr>
    </w:p>
    <w:p>
      <w:pPr>
        <w:snapToGrid w:val="0"/>
        <w:spacing w:line="480" w:lineRule="exact"/>
        <w:ind w:left="0" w:firstLine="560" w:firstLineChars="200"/>
        <w:rPr>
          <w:rFonts w:hint="eastAsia" w:ascii="黑体" w:hAnsi="黑体" w:eastAsia="黑体" w:cs="黑体"/>
          <w:sz w:val="28"/>
          <w:szCs w:val="28"/>
        </w:rPr>
      </w:pPr>
    </w:p>
    <w:p>
      <w:pPr>
        <w:snapToGrid w:val="0"/>
        <w:spacing w:line="480" w:lineRule="exact"/>
        <w:ind w:left="0" w:firstLine="560" w:firstLineChars="200"/>
        <w:rPr>
          <w:rFonts w:hint="eastAsia" w:ascii="黑体" w:hAnsi="黑体" w:eastAsia="黑体" w:cs="黑体"/>
          <w:sz w:val="28"/>
          <w:szCs w:val="28"/>
        </w:rPr>
      </w:pPr>
    </w:p>
    <w:p>
      <w:pPr>
        <w:snapToGrid w:val="0"/>
        <w:spacing w:line="480" w:lineRule="exact"/>
        <w:ind w:left="0" w:firstLine="560" w:firstLineChars="200"/>
        <w:rPr>
          <w:rFonts w:hint="eastAsia" w:ascii="黑体" w:hAnsi="黑体" w:eastAsia="黑体" w:cs="黑体"/>
          <w:sz w:val="28"/>
          <w:szCs w:val="28"/>
        </w:rPr>
      </w:pPr>
      <w:r>
        <w:rPr>
          <w:rFonts w:hint="eastAsia" w:ascii="黑体" w:hAnsi="黑体" w:eastAsia="黑体" w:cs="黑体"/>
          <w:sz w:val="28"/>
          <w:szCs w:val="28"/>
        </w:rPr>
        <w:t>四、维保服务主要工作内容</w:t>
      </w:r>
    </w:p>
    <w:tbl>
      <w:tblPr>
        <w:tblStyle w:val="2"/>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8"/>
        <w:gridCol w:w="1216"/>
        <w:gridCol w:w="6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服务项目</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数量/单位</w:t>
            </w:r>
          </w:p>
        </w:tc>
        <w:tc>
          <w:tcPr>
            <w:tcW w:w="6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服务内容及要求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9"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机房环境监测运维服务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机房环境监测与运维（设备包含但不限于：消防系统、动环监控系统、UPS不间断电源、门禁系统、精密空调等）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UPS（不间断电源）维护（艾默生4组电池柜60KVA）：定期进行UPS主机及电池组检测，如UPS与市电线路之间的切换试验。对未接入UPS的关键设备进行线路的调整；检查记录UPS运行参数，为用户提供整改完善意见和建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机房精密空调与配电设备维护（2台艾默生、2台海瑞弗精密空调以及新风系统）：定期检查空调设备、新风设备、主配电箱。调整精密空调设备的运行参数，保证机房始终处于适宜温湿度环境下运转；检查空调运行是否正常，换风设备运转是否正常，检查否缺少制冷剂。检查空调压缩机高、低压保护开关、干燥过滤器及其他附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3.消防设备维护（3组柜式七氟丙烷灭火装置）：定期检查检查火警探测器、手动报警按钮、火灾警报装置外观及试验报警功能；检查火灾警报控制器的自检、消音、复位功能及主备用电源切换功能。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4.门禁系统维护：定期对门禁系统进行检查，确保门禁电源、电压等是否正常运转。确保密码、人脸、磁卡验证功能正常可用。</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5.动环监控系统维护：定期检查动环监控系统的运行情况，发生报警及时处理。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机房环境养护（约20组机柜）：定期对机房内部的关键信息基础设施进行除尘处理；每季度至少开展一次机房环境保洁，静电地板清洁，地面除尘、缝隙调整；检查吊顶，检查电路及照明，接地电阻测试；主接地除锈、接口紧固；防雷器检查；接地线路防氧化加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6"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机房设备运维管理</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1项</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机房设备运维（设备包含但不限于防火墙、交换机、WAF、服务器、存储日志服务器、沙箱、全流量分析、备份一体机、态势感知、虚拟化安全、终端安全管理、集中管理等30多台。）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1.确保机房内关键基础设备处于正常运行状态，定期进行硬件状态检查、系统状态检查、线缆连接情况检查，维修故障部件。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2.协助我中心开展应急故障处理、系统运维管理、系统升级、病毒查杀、网络配置等工作。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3.定期做好各种重要数据和系统的备份，当数据受损坏时，应提供数据恢复方案,并尽力提供无偿恢复服务。</w:t>
            </w:r>
          </w:p>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4.对机房内所有设备每季度至少开展一次全面的保洁工作。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7"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网络设备运维服务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中心内部网络维护（设备包含但不限于核心交换机、约60台楼层交换机、约50台无线AP等网络设备）：</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1.定期对中心内部网络进行测试，按需对交换机等网络中继设备进行配置调整、性能调优等，保障网络顺畅、稳定。</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2.对网络核心设备做日常维护，检查设备运行状态、物理状态，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3.定期检查设备的系统日志文件，系统错误记录，分析系统存在的问题并解决问题。</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4.重大故障调度配合、及时到场协助抢修；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5.机房网络设备及线路巡检服务：提供现场巡检服务，并按时提供巡检报告。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4"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信息安全运维服务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提供软件维护（虚拟化平台、在机房的各类系统服务器、存储服务器、防火墙、上网为管理器等）。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1.绘制与当前运行情况相符的网络拓扑结构图；划分不同的子网或网段，为各子网、网段分配地址段。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2.定期对网络设备运行状况、网络流量、用户行为等进行检查记录，发现问题后要及时与我方对接处理。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3.定期检查网络边界处的攻击行为，如端口扫描、强力攻击、木马后门攻击、拒绝服务攻击、缓冲区溢出攻击、IP碎片攻击和网络蠕虫攻击等。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检查各类安全防护的配置策略：定期检查安全登录网络设备的用户情况和各操作系统和数据库系统的用户情况，以及用户口令使用情况，定期检查各主机是否启用远程管理的功能和是否采用了相应的安全措施，定期检查是否启用访问控制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5.定期进行系统升级和病毒查杀。</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6.定期检查并发现操作系统、数据库、中间件等的漏洞，并及时打补丁。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1"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办公电脑运维服务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现场对PC、笔记本等办公电脑设备（约600台）的日常运维和故障处理等。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1.故障检查与维修：包含计算机硬件拆卸组装；各类外设安装和维护；系统软件、操作系统安装、应用软件安装及维护。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2.日常运维：所有办公电脑进行除尘、保洁；电脑系统各类软件升级；驱动程序安装；病毒查杀和防范；重要数据的备份。</w:t>
            </w:r>
          </w:p>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3.电脑网络故障诊断排除及维护管理，网络设备安装、设置、调试及检测。</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4.建立电子信息设备技术档案。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9"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打印机、复印机、扫描仪等办公电子设备运维服务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负责我中心的所有打印机、复印机、扫描仪等办公电子设备（约200台）的的日常运维和故障处理等。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1.及时对打印、复印设备进行检修，及时准确的处理日常工作中打印、复印等相关设施设备出现的问题，排除故障；</w:t>
            </w:r>
          </w:p>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2.为正在使用的打印机、复印机和耗材提供的零件进行更换（耗材由我中心提供），安装驱动，设置共享等。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3.不定期对中心职工进行设备使用的培训，以减少人为设备故障的产生。</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4.严格遵守打印机、复印机耗材添加规范，使耗材添加不会影响到主耗材的寿命和使用效果。</w:t>
            </w:r>
          </w:p>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5每年对中心所有登记在册的电子信息类设备进行除尘、保洁全覆盖。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2" w:hRule="atLeast"/>
        </w:trPr>
        <w:tc>
          <w:tcPr>
            <w:tcW w:w="13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安全培训服务</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1项</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按照信息安全等级保护制度及中心相关管理工作需要，邀请区内外网络信息安全管理方面的专家进行中心内部的信息安全管理知识培训，每年至少组织1次。</w:t>
            </w:r>
          </w:p>
        </w:tc>
      </w:tr>
    </w:tbl>
    <w:p>
      <w:pPr>
        <w:snapToGrid w:val="0"/>
        <w:spacing w:line="480" w:lineRule="exact"/>
        <w:ind w:left="0" w:firstLine="560" w:firstLineChars="200"/>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left="0"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五、维保工作要求：</w:t>
      </w:r>
    </w:p>
    <w:p>
      <w:pPr>
        <w:keepNext w:val="0"/>
        <w:keepLines w:val="0"/>
        <w:pageBreakBefore w:val="0"/>
        <w:widowControl w:val="0"/>
        <w:kinsoku/>
        <w:wordWrap/>
        <w:overflowPunct/>
        <w:topLinePunct w:val="0"/>
        <w:autoSpaceDE/>
        <w:autoSpaceDN/>
        <w:bidi w:val="0"/>
        <w:adjustRightInd/>
        <w:snapToGrid w:val="0"/>
        <w:spacing w:line="520" w:lineRule="exact"/>
        <w:ind w:left="0" w:firstLine="560"/>
        <w:textAlignment w:val="auto"/>
        <w:rPr>
          <w:rFonts w:hint="eastAsia" w:ascii="仿宋" w:hAnsi="仿宋" w:eastAsia="仿宋" w:cs="仿宋"/>
          <w:sz w:val="30"/>
          <w:szCs w:val="30"/>
        </w:rPr>
      </w:pPr>
      <w:r>
        <w:rPr>
          <w:rFonts w:hint="eastAsia" w:ascii="楷体" w:hAnsi="楷体" w:eastAsia="楷体" w:cs="楷体"/>
          <w:sz w:val="30"/>
          <w:szCs w:val="30"/>
        </w:rPr>
        <w:t>1.驻场服务。</w:t>
      </w:r>
      <w:r>
        <w:rPr>
          <w:rFonts w:hint="eastAsia" w:ascii="仿宋" w:hAnsi="仿宋" w:eastAsia="仿宋" w:cs="仿宋"/>
          <w:sz w:val="30"/>
          <w:szCs w:val="30"/>
        </w:rPr>
        <w:t>提供至少</w:t>
      </w:r>
      <w:r>
        <w:rPr>
          <w:rFonts w:ascii="仿宋" w:hAnsi="仿宋" w:eastAsia="仿宋" w:cs="仿宋"/>
          <w:sz w:val="30"/>
          <w:szCs w:val="30"/>
        </w:rPr>
        <w:t>2</w:t>
      </w:r>
      <w:r>
        <w:rPr>
          <w:rFonts w:hint="eastAsia" w:ascii="仿宋" w:hAnsi="仿宋" w:eastAsia="仿宋" w:cs="仿宋"/>
          <w:sz w:val="30"/>
          <w:szCs w:val="30"/>
        </w:rPr>
        <w:t>名技术工程师驻场服务（按我中心时间上下班），人员要求大专以上信息技术相关学历，3</w:t>
      </w:r>
      <w:r>
        <w:rPr>
          <w:rFonts w:hint="eastAsia" w:ascii="仿宋" w:hAnsi="仿宋" w:eastAsia="仿宋" w:cs="仿宋"/>
          <w:sz w:val="30"/>
          <w:szCs w:val="30"/>
          <w:lang w:val="en-US" w:eastAsia="zh-CN"/>
        </w:rPr>
        <w:t>5</w:t>
      </w:r>
      <w:r>
        <w:rPr>
          <w:rFonts w:hint="eastAsia" w:ascii="仿宋" w:hAnsi="仿宋" w:eastAsia="仿宋" w:cs="仿宋"/>
          <w:sz w:val="30"/>
          <w:szCs w:val="30"/>
        </w:rPr>
        <w:t>岁以下，至少3年或以上IT相关从业经验，具备包括终端主机、网络、机房设备维护的工作经历、技能以及相关专业资质，熟悉Windows、Linux等操作系统及电脑外设、打印机等软硬件日常安装、维护故障处理，熟悉网络设备安装调试。驻场工程师保持相对固定，不得随意更换，全年（包括所有的节假日期间）提供不少于2名工程师在常驻本地，确保满足响应时间要求，协助用户制订日常运行管理规范和设备运行应急预案；当现场工程师及其他支持方式无法解决问题或技术力量不足时，服务方应及时提供后援技术支持和补充。服务期间必须遵守中心制定的各项关于机房设备及业务系统运维的管理制度，并需要签订保密协议。</w:t>
      </w:r>
      <w:r>
        <w:rPr>
          <w:rFonts w:ascii="仿宋" w:hAnsi="仿宋" w:eastAsia="仿宋" w:cs="仿宋"/>
          <w:sz w:val="30"/>
          <w:szCs w:val="30"/>
        </w:rPr>
        <w:t>服务方</w:t>
      </w:r>
      <w:r>
        <w:rPr>
          <w:rFonts w:hint="eastAsia" w:ascii="仿宋" w:hAnsi="仿宋" w:eastAsia="仿宋" w:cs="仿宋"/>
          <w:sz w:val="30"/>
          <w:szCs w:val="30"/>
        </w:rPr>
        <w:t>技术团队</w:t>
      </w:r>
      <w:r>
        <w:rPr>
          <w:rFonts w:ascii="仿宋" w:hAnsi="仿宋" w:eastAsia="仿宋" w:cs="仿宋"/>
          <w:sz w:val="30"/>
          <w:szCs w:val="30"/>
        </w:rPr>
        <w:t>技术人员需具备以下</w:t>
      </w:r>
      <w:r>
        <w:rPr>
          <w:rFonts w:hint="eastAsia" w:ascii="仿宋" w:hAnsi="仿宋" w:eastAsia="仿宋" w:cs="仿宋"/>
          <w:sz w:val="30"/>
          <w:szCs w:val="30"/>
        </w:rPr>
        <w:t>资质：</w:t>
      </w:r>
      <w:r>
        <w:rPr>
          <w:rFonts w:ascii="仿宋" w:hAnsi="仿宋" w:eastAsia="仿宋" w:cs="仿宋"/>
          <w:sz w:val="30"/>
          <w:szCs w:val="30"/>
        </w:rPr>
        <w:t>网络认证证书</w:t>
      </w:r>
      <w:r>
        <w:rPr>
          <w:rFonts w:hint="eastAsia" w:ascii="仿宋" w:hAnsi="仿宋" w:eastAsia="仿宋" w:cs="仿宋"/>
          <w:sz w:val="30"/>
          <w:szCs w:val="30"/>
        </w:rPr>
        <w:t>、</w:t>
      </w:r>
      <w:r>
        <w:rPr>
          <w:rFonts w:ascii="仿宋" w:hAnsi="仿宋" w:eastAsia="仿宋" w:cs="仿宋"/>
          <w:sz w:val="30"/>
          <w:szCs w:val="30"/>
        </w:rPr>
        <w:t>网络安全工程师认证证书</w:t>
      </w:r>
      <w:r>
        <w:rPr>
          <w:rFonts w:hint="eastAsia" w:ascii="仿宋" w:hAnsi="仿宋" w:eastAsia="仿宋" w:cs="仿宋"/>
          <w:sz w:val="30"/>
          <w:szCs w:val="30"/>
        </w:rPr>
        <w:t>、</w:t>
      </w:r>
      <w:r>
        <w:rPr>
          <w:rFonts w:ascii="仿宋" w:hAnsi="仿宋" w:eastAsia="仿宋" w:cs="仿宋"/>
          <w:sz w:val="30"/>
          <w:szCs w:val="30"/>
        </w:rPr>
        <w:t>信息安全认证工程师。</w:t>
      </w:r>
      <w:r>
        <w:rPr>
          <w:rFonts w:hint="eastAsia" w:ascii="仿宋" w:hAnsi="仿宋" w:eastAsia="仿宋" w:cs="仿宋"/>
          <w:sz w:val="30"/>
          <w:szCs w:val="30"/>
        </w:rPr>
        <w:t>（工作地点为南宁市金洲路18号、桃源路82号）</w:t>
      </w:r>
    </w:p>
    <w:p>
      <w:pPr>
        <w:keepNext w:val="0"/>
        <w:keepLines w:val="0"/>
        <w:pageBreakBefore w:val="0"/>
        <w:widowControl w:val="0"/>
        <w:kinsoku/>
        <w:wordWrap/>
        <w:overflowPunct/>
        <w:topLinePunct w:val="0"/>
        <w:autoSpaceDE/>
        <w:autoSpaceDN/>
        <w:bidi w:val="0"/>
        <w:adjustRightInd/>
        <w:snapToGrid w:val="0"/>
        <w:spacing w:line="520" w:lineRule="exact"/>
        <w:ind w:left="0" w:firstLine="560"/>
        <w:textAlignment w:val="auto"/>
        <w:rPr>
          <w:rFonts w:ascii="仿宋" w:hAnsi="仿宋" w:eastAsia="仿宋" w:cs="仿宋"/>
          <w:sz w:val="30"/>
          <w:szCs w:val="30"/>
        </w:rPr>
      </w:pPr>
      <w:r>
        <w:rPr>
          <w:rFonts w:hint="eastAsia" w:ascii="楷体" w:hAnsi="楷体" w:eastAsia="楷体" w:cs="楷体"/>
          <w:sz w:val="30"/>
          <w:szCs w:val="30"/>
        </w:rPr>
        <w:t>2.定期巡检。</w:t>
      </w:r>
      <w:r>
        <w:rPr>
          <w:rFonts w:hint="eastAsia" w:ascii="仿宋" w:hAnsi="仿宋" w:eastAsia="仿宋" w:cs="仿宋"/>
          <w:sz w:val="30"/>
          <w:szCs w:val="30"/>
        </w:rPr>
        <w:t>按照工作计划要求，定期对系统进行预防性维护，包括检查系统状态、设备清洁、系</w:t>
      </w:r>
      <w:r>
        <w:rPr>
          <w:rFonts w:ascii="仿宋" w:hAnsi="仿宋" w:eastAsia="仿宋" w:cs="仿宋"/>
          <w:sz w:val="30"/>
          <w:szCs w:val="30"/>
        </w:rPr>
        <w:t>统备份，以及与客户工程师的技术交流</w:t>
      </w:r>
      <w:r>
        <w:rPr>
          <w:rFonts w:hint="eastAsia" w:ascii="仿宋" w:hAnsi="仿宋" w:eastAsia="仿宋" w:cs="仿宋"/>
          <w:sz w:val="30"/>
          <w:szCs w:val="30"/>
        </w:rPr>
        <w:t>，并提</w:t>
      </w:r>
      <w:r>
        <w:rPr>
          <w:rFonts w:ascii="仿宋" w:hAnsi="仿宋" w:eastAsia="仿宋" w:cs="仿宋"/>
          <w:sz w:val="30"/>
          <w:szCs w:val="30"/>
        </w:rPr>
        <w:t xml:space="preserve">供巡检报告。 </w:t>
      </w:r>
    </w:p>
    <w:p>
      <w:pPr>
        <w:keepNext w:val="0"/>
        <w:keepLines w:val="0"/>
        <w:pageBreakBefore w:val="0"/>
        <w:widowControl w:val="0"/>
        <w:kinsoku/>
        <w:wordWrap/>
        <w:overflowPunct/>
        <w:topLinePunct w:val="0"/>
        <w:autoSpaceDE/>
        <w:autoSpaceDN/>
        <w:bidi w:val="0"/>
        <w:adjustRightInd/>
        <w:snapToGrid w:val="0"/>
        <w:spacing w:line="520" w:lineRule="exact"/>
        <w:ind w:left="0" w:firstLine="560"/>
        <w:textAlignment w:val="auto"/>
        <w:rPr>
          <w:rFonts w:ascii="仿宋" w:hAnsi="仿宋" w:eastAsia="仿宋" w:cs="仿宋"/>
          <w:sz w:val="30"/>
          <w:szCs w:val="30"/>
        </w:rPr>
      </w:pPr>
      <w:r>
        <w:rPr>
          <w:rFonts w:hint="eastAsia" w:ascii="楷体" w:hAnsi="楷体" w:eastAsia="楷体" w:cs="楷体"/>
          <w:sz w:val="30"/>
          <w:szCs w:val="30"/>
          <w:lang w:val="en-US" w:eastAsia="zh-CN"/>
        </w:rPr>
        <w:t>3</w:t>
      </w:r>
      <w:r>
        <w:rPr>
          <w:rFonts w:hint="eastAsia" w:ascii="楷体" w:hAnsi="楷体" w:eastAsia="楷体" w:cs="楷体"/>
          <w:sz w:val="30"/>
          <w:szCs w:val="30"/>
        </w:rPr>
        <w:t>.</w:t>
      </w:r>
      <w:r>
        <w:rPr>
          <w:rFonts w:hint="eastAsia" w:ascii="楷体" w:hAnsi="楷体" w:eastAsia="楷体" w:cs="楷体"/>
          <w:sz w:val="30"/>
          <w:szCs w:val="30"/>
          <w:lang w:val="en-US" w:eastAsia="zh-CN"/>
        </w:rPr>
        <w:t>服务响应及技术支持</w:t>
      </w:r>
      <w:r>
        <w:rPr>
          <w:rFonts w:hint="eastAsia" w:ascii="楷体" w:hAnsi="楷体" w:eastAsia="楷体" w:cs="楷体"/>
          <w:sz w:val="30"/>
          <w:szCs w:val="30"/>
        </w:rPr>
        <w:t>。</w:t>
      </w:r>
      <w:r>
        <w:rPr>
          <w:rFonts w:hint="eastAsia" w:ascii="仿宋" w:hAnsi="仿宋" w:eastAsia="仿宋" w:cs="仿宋"/>
          <w:sz w:val="30"/>
          <w:szCs w:val="30"/>
        </w:rPr>
        <w:t>一般性故障由驻场工程师负责处理，</w:t>
      </w:r>
      <w:r>
        <w:rPr>
          <w:rFonts w:hint="eastAsia" w:ascii="仿宋" w:hAnsi="仿宋" w:eastAsia="仿宋" w:cs="仿宋"/>
          <w:sz w:val="30"/>
          <w:szCs w:val="30"/>
          <w:lang w:val="en-US" w:eastAsia="zh-CN"/>
        </w:rPr>
        <w:t>30分钟内到现场处置（含节假日期间），重大活动时</w:t>
      </w:r>
      <w:r>
        <w:rPr>
          <w:rFonts w:hint="eastAsia" w:ascii="仿宋" w:hAnsi="仿宋" w:eastAsia="仿宋" w:cs="仿宋"/>
          <w:sz w:val="30"/>
          <w:szCs w:val="30"/>
        </w:rPr>
        <w:t>驻场工程师</w:t>
      </w:r>
      <w:r>
        <w:rPr>
          <w:rFonts w:hint="eastAsia" w:ascii="仿宋" w:hAnsi="仿宋" w:eastAsia="仿宋" w:cs="仿宋"/>
          <w:sz w:val="30"/>
          <w:szCs w:val="30"/>
          <w:lang w:val="en-US" w:eastAsia="zh-CN"/>
        </w:rPr>
        <w:t>全天现场待命；</w:t>
      </w:r>
      <w:r>
        <w:rPr>
          <w:rFonts w:hint="eastAsia" w:ascii="仿宋" w:hAnsi="仿宋" w:eastAsia="仿宋" w:cs="仿宋"/>
          <w:sz w:val="30"/>
          <w:szCs w:val="30"/>
        </w:rPr>
        <w:t>如遇驻场工程师无法处理重大故障，维保公司技术团队应在2小时内到达现场，协助我中心完成故障定位和处置工作，必要时协调相关厂商技术人员进行免费技术支持</w:t>
      </w:r>
      <w:r>
        <w:rPr>
          <w:rFonts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val="0"/>
        <w:spacing w:line="520" w:lineRule="exact"/>
        <w:ind w:left="0" w:firstLine="560"/>
        <w:textAlignment w:val="auto"/>
        <w:rPr>
          <w:rFonts w:hint="default" w:ascii="仿宋" w:hAnsi="仿宋" w:eastAsia="仿宋" w:cs="仿宋"/>
          <w:sz w:val="30"/>
          <w:szCs w:val="30"/>
          <w:lang w:val="en-US" w:eastAsia="zh-CN"/>
        </w:rPr>
      </w:pPr>
      <w:r>
        <w:rPr>
          <w:rFonts w:hint="default" w:ascii="楷体" w:hAnsi="楷体" w:eastAsia="楷体" w:cs="楷体"/>
          <w:sz w:val="30"/>
          <w:szCs w:val="30"/>
          <w:lang w:val="en-US" w:eastAsia="zh-CN"/>
        </w:rPr>
        <w:t>4</w:t>
      </w:r>
      <w:r>
        <w:rPr>
          <w:rFonts w:hint="eastAsia" w:ascii="楷体" w:hAnsi="楷体" w:eastAsia="楷体" w:cs="楷体"/>
          <w:sz w:val="30"/>
          <w:szCs w:val="30"/>
          <w:lang w:val="en-US" w:eastAsia="zh-CN"/>
        </w:rPr>
        <w:t>.免费提供部分备品备件及相关耗材。</w:t>
      </w:r>
      <w:r>
        <w:rPr>
          <w:rFonts w:hint="eastAsia" w:ascii="仿宋" w:hAnsi="仿宋" w:eastAsia="仿宋" w:cs="仿宋"/>
          <w:sz w:val="30"/>
          <w:szCs w:val="30"/>
          <w:lang w:val="en-US" w:eastAsia="zh-CN"/>
        </w:rPr>
        <w:t>在本地储备相应设备维保的备品备件及相关耗材（如网线、水晶头、电源线、数据线、电池等），确保在出现故障时，及时更换。</w:t>
      </w:r>
    </w:p>
    <w:p>
      <w:pPr>
        <w:keepNext w:val="0"/>
        <w:keepLines w:val="0"/>
        <w:pageBreakBefore w:val="0"/>
        <w:widowControl w:val="0"/>
        <w:kinsoku/>
        <w:wordWrap/>
        <w:overflowPunct/>
        <w:topLinePunct w:val="0"/>
        <w:autoSpaceDE/>
        <w:autoSpaceDN/>
        <w:bidi w:val="0"/>
        <w:adjustRightInd/>
        <w:snapToGrid w:val="0"/>
        <w:spacing w:line="520" w:lineRule="exact"/>
        <w:ind w:left="0" w:firstLine="560"/>
        <w:textAlignment w:val="auto"/>
        <w:rPr>
          <w:rFonts w:ascii="仿宋_GB2312" w:hAnsi="宋体" w:eastAsia="仿宋_GB2312"/>
          <w:kern w:val="2"/>
          <w:sz w:val="30"/>
          <w:szCs w:val="30"/>
          <w:lang w:val="en-US" w:eastAsia="zh-CN" w:bidi="ar-SA"/>
        </w:rPr>
      </w:pPr>
      <w:r>
        <w:rPr>
          <w:rFonts w:hint="default" w:ascii="楷体" w:hAnsi="楷体" w:eastAsia="楷体" w:cs="楷体"/>
          <w:sz w:val="30"/>
          <w:szCs w:val="30"/>
          <w:lang w:val="en-US" w:eastAsia="zh-CN"/>
        </w:rPr>
        <w:t>5</w:t>
      </w:r>
      <w:r>
        <w:rPr>
          <w:rFonts w:hint="eastAsia" w:ascii="楷体" w:hAnsi="楷体" w:eastAsia="楷体" w:cs="楷体"/>
          <w:sz w:val="30"/>
          <w:szCs w:val="30"/>
          <w:lang w:val="en-US" w:eastAsia="zh-CN"/>
        </w:rPr>
        <w:t>.提交服务报告。</w:t>
      </w:r>
      <w:r>
        <w:rPr>
          <w:rFonts w:hint="eastAsia" w:ascii="仿宋_GB2312" w:hAnsi="宋体" w:eastAsia="仿宋_GB2312"/>
          <w:kern w:val="2"/>
          <w:sz w:val="30"/>
          <w:szCs w:val="30"/>
          <w:lang w:val="en-US" w:eastAsia="zh-CN" w:bidi="ar-SA"/>
        </w:rPr>
        <w:t>根据信息管理部门要求提供服务报告，内容如下：</w:t>
      </w:r>
    </w:p>
    <w:tbl>
      <w:tblPr>
        <w:tblStyle w:val="2"/>
        <w:tblpPr w:leftFromText="180" w:rightFromText="180" w:vertAnchor="text" w:horzAnchor="page" w:tblpX="1995" w:tblpY="373"/>
        <w:tblOverlap w:val="never"/>
        <w:tblW w:w="0" w:type="auto"/>
        <w:tblInd w:w="0" w:type="dxa"/>
        <w:tblLayout w:type="fixed"/>
        <w:tblCellMar>
          <w:top w:w="0" w:type="dxa"/>
          <w:left w:w="0" w:type="dxa"/>
          <w:bottom w:w="0" w:type="dxa"/>
          <w:right w:w="0" w:type="dxa"/>
        </w:tblCellMar>
      </w:tblPr>
      <w:tblGrid>
        <w:gridCol w:w="2636"/>
        <w:gridCol w:w="2625"/>
        <w:gridCol w:w="3004"/>
      </w:tblGrid>
      <w:tr>
        <w:tblPrEx>
          <w:tblCellMar>
            <w:top w:w="0" w:type="dxa"/>
            <w:left w:w="0" w:type="dxa"/>
            <w:bottom w:w="0" w:type="dxa"/>
            <w:right w:w="0" w:type="dxa"/>
          </w:tblCellMar>
        </w:tblPrEx>
        <w:trPr>
          <w:trHeight w:val="285" w:hRule="atLeast"/>
        </w:trPr>
        <w:tc>
          <w:tcPr>
            <w:tcW w:w="2636" w:type="dxa"/>
            <w:tcBorders>
              <w:top w:val="single" w:color="000000" w:sz="4" w:space="0"/>
              <w:left w:val="single" w:color="000000" w:sz="4" w:space="0"/>
              <w:bottom w:val="single" w:color="000000" w:sz="4" w:space="0"/>
              <w:right w:val="single" w:color="000000" w:sz="4" w:space="0"/>
            </w:tcBorders>
            <w:shd w:val="clear" w:color="auto" w:fill="C0C0C0"/>
            <w:noWrap w:val="0"/>
            <w:tcMar>
              <w:top w:w="0" w:type="dxa"/>
              <w:left w:w="108" w:type="dxa"/>
              <w:bottom w:w="0" w:type="dxa"/>
              <w:right w:w="108" w:type="dxa"/>
            </w:tcMar>
            <w:vAlign w:val="bottom"/>
          </w:tcPr>
          <w:p>
            <w:pPr>
              <w:autoSpaceDE w:val="0"/>
              <w:autoSpaceDN w:val="0"/>
              <w:spacing w:before="0" w:after="0" w:line="560" w:lineRule="exact"/>
              <w:ind w:left="0"/>
              <w:jc w:val="center"/>
              <w:rPr>
                <w:rFonts w:hint="default" w:ascii="仿宋_GB2312" w:hAnsi="宋体" w:eastAsia="仿宋_GB2312"/>
                <w:b/>
                <w:bCs/>
                <w:kern w:val="2"/>
                <w:sz w:val="28"/>
                <w:szCs w:val="24"/>
                <w:lang w:val="en-US" w:eastAsia="zh-CN" w:bidi="ar-SA"/>
              </w:rPr>
            </w:pPr>
            <w:r>
              <w:rPr>
                <w:rFonts w:hint="eastAsia" w:ascii="仿宋_GB2312" w:hAnsi="宋体" w:eastAsia="仿宋_GB2312"/>
                <w:b/>
                <w:bCs/>
                <w:kern w:val="2"/>
                <w:sz w:val="28"/>
                <w:szCs w:val="24"/>
                <w:lang w:val="en-US" w:eastAsia="zh-CN" w:bidi="ar-SA"/>
              </w:rPr>
              <w:t>服务</w:t>
            </w:r>
          </w:p>
        </w:tc>
        <w:tc>
          <w:tcPr>
            <w:tcW w:w="2625" w:type="dxa"/>
            <w:tcBorders>
              <w:top w:val="single" w:color="000000" w:sz="4" w:space="0"/>
              <w:bottom w:val="single" w:color="000000" w:sz="4" w:space="0"/>
              <w:right w:val="single" w:color="000000" w:sz="4" w:space="0"/>
            </w:tcBorders>
            <w:shd w:val="clear" w:color="auto" w:fill="C0C0C0"/>
            <w:noWrap w:val="0"/>
            <w:tcMar>
              <w:top w:w="0" w:type="dxa"/>
              <w:left w:w="108" w:type="dxa"/>
              <w:bottom w:w="0" w:type="dxa"/>
              <w:right w:w="108" w:type="dxa"/>
            </w:tcMar>
            <w:vAlign w:val="bottom"/>
          </w:tcPr>
          <w:p>
            <w:pPr>
              <w:autoSpaceDE w:val="0"/>
              <w:autoSpaceDN w:val="0"/>
              <w:spacing w:before="0" w:after="0" w:line="560" w:lineRule="exact"/>
              <w:ind w:left="0"/>
              <w:jc w:val="center"/>
              <w:rPr>
                <w:rFonts w:ascii="仿宋_GB2312" w:hAnsi="宋体" w:eastAsia="仿宋_GB2312"/>
                <w:b/>
                <w:bCs/>
                <w:kern w:val="2"/>
                <w:sz w:val="28"/>
                <w:szCs w:val="24"/>
                <w:lang w:val="en-US" w:eastAsia="zh-CN" w:bidi="ar-SA"/>
              </w:rPr>
            </w:pPr>
            <w:r>
              <w:rPr>
                <w:rFonts w:hint="eastAsia" w:ascii="仿宋_GB2312" w:hAnsi="宋体" w:eastAsia="仿宋_GB2312"/>
                <w:b/>
                <w:bCs/>
                <w:kern w:val="2"/>
                <w:sz w:val="28"/>
                <w:szCs w:val="24"/>
                <w:lang w:val="en-US" w:eastAsia="zh-CN" w:bidi="ar-SA"/>
              </w:rPr>
              <w:t>报告内容</w:t>
            </w:r>
          </w:p>
        </w:tc>
        <w:tc>
          <w:tcPr>
            <w:tcW w:w="3004" w:type="dxa"/>
            <w:tcBorders>
              <w:top w:val="single" w:color="000000" w:sz="4" w:space="0"/>
              <w:bottom w:val="single" w:color="000000" w:sz="4" w:space="0"/>
              <w:right w:val="single" w:color="000000" w:sz="4" w:space="0"/>
            </w:tcBorders>
            <w:shd w:val="clear" w:color="auto" w:fill="C0C0C0"/>
            <w:noWrap w:val="0"/>
            <w:tcMar>
              <w:top w:w="0" w:type="dxa"/>
              <w:left w:w="108" w:type="dxa"/>
              <w:bottom w:w="0" w:type="dxa"/>
              <w:right w:w="108" w:type="dxa"/>
            </w:tcMar>
            <w:vAlign w:val="bottom"/>
          </w:tcPr>
          <w:p>
            <w:pPr>
              <w:autoSpaceDE w:val="0"/>
              <w:autoSpaceDN w:val="0"/>
              <w:spacing w:before="0" w:after="0" w:line="560" w:lineRule="exact"/>
              <w:ind w:left="0"/>
              <w:jc w:val="center"/>
              <w:rPr>
                <w:rFonts w:hint="default" w:ascii="仿宋_GB2312" w:hAnsi="宋体" w:eastAsia="仿宋_GB2312"/>
                <w:b/>
                <w:bCs/>
                <w:kern w:val="2"/>
                <w:sz w:val="28"/>
                <w:szCs w:val="24"/>
                <w:lang w:val="en-US" w:eastAsia="zh-CN" w:bidi="ar-SA"/>
              </w:rPr>
            </w:pPr>
            <w:r>
              <w:rPr>
                <w:rFonts w:hint="eastAsia" w:ascii="仿宋_GB2312" w:hAnsi="宋体" w:eastAsia="仿宋_GB2312"/>
                <w:b/>
                <w:bCs/>
                <w:kern w:val="2"/>
                <w:sz w:val="28"/>
                <w:szCs w:val="24"/>
                <w:lang w:val="en-US" w:eastAsia="zh-CN" w:bidi="ar-SA"/>
              </w:rPr>
              <w:t>提交时间</w:t>
            </w:r>
          </w:p>
        </w:tc>
      </w:tr>
      <w:tr>
        <w:tblPrEx>
          <w:tblCellMar>
            <w:top w:w="0" w:type="dxa"/>
            <w:left w:w="0" w:type="dxa"/>
            <w:bottom w:w="0" w:type="dxa"/>
            <w:right w:w="0" w:type="dxa"/>
          </w:tblCellMar>
        </w:tblPrEx>
        <w:trPr>
          <w:trHeight w:val="285" w:hRule="atLeast"/>
        </w:trPr>
        <w:tc>
          <w:tcPr>
            <w:tcW w:w="2636"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日常运维服务报告</w:t>
            </w:r>
          </w:p>
        </w:tc>
        <w:tc>
          <w:tcPr>
            <w:tcW w:w="2625" w:type="dxa"/>
            <w:tcBorders>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运维月/季/年报告</w:t>
            </w:r>
          </w:p>
        </w:tc>
        <w:tc>
          <w:tcPr>
            <w:tcW w:w="3004" w:type="dxa"/>
            <w:tcBorders>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月度/季度/年度</w:t>
            </w:r>
          </w:p>
        </w:tc>
      </w:tr>
      <w:tr>
        <w:tblPrEx>
          <w:tblCellMar>
            <w:top w:w="0" w:type="dxa"/>
            <w:left w:w="0" w:type="dxa"/>
            <w:bottom w:w="0" w:type="dxa"/>
            <w:right w:w="0" w:type="dxa"/>
          </w:tblCellMar>
        </w:tblPrEx>
        <w:trPr>
          <w:trHeight w:val="285" w:hRule="atLeast"/>
        </w:trPr>
        <w:tc>
          <w:tcPr>
            <w:tcW w:w="2636"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重大事件服务报告</w:t>
            </w:r>
          </w:p>
        </w:tc>
        <w:tc>
          <w:tcPr>
            <w:tcW w:w="2625" w:type="dxa"/>
            <w:tcBorders>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重大事件服务报告</w:t>
            </w:r>
          </w:p>
        </w:tc>
        <w:tc>
          <w:tcPr>
            <w:tcW w:w="3004" w:type="dxa"/>
            <w:tcBorders>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按事件发生情况</w:t>
            </w:r>
          </w:p>
        </w:tc>
      </w:tr>
      <w:tr>
        <w:tblPrEx>
          <w:tblCellMar>
            <w:top w:w="0" w:type="dxa"/>
            <w:left w:w="0" w:type="dxa"/>
            <w:bottom w:w="0" w:type="dxa"/>
            <w:right w:w="0" w:type="dxa"/>
          </w:tblCellMar>
        </w:tblPrEx>
        <w:trPr>
          <w:trHeight w:val="285" w:hRule="atLeast"/>
        </w:trPr>
        <w:tc>
          <w:tcPr>
            <w:tcW w:w="2636"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巡检报告</w:t>
            </w:r>
          </w:p>
        </w:tc>
        <w:tc>
          <w:tcPr>
            <w:tcW w:w="2625" w:type="dxa"/>
            <w:tcBorders>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巡检工作记录</w:t>
            </w:r>
          </w:p>
        </w:tc>
        <w:tc>
          <w:tcPr>
            <w:tcW w:w="3004" w:type="dxa"/>
            <w:tcBorders>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月度/季度</w:t>
            </w:r>
          </w:p>
        </w:tc>
      </w:tr>
      <w:tr>
        <w:tblPrEx>
          <w:tblCellMar>
            <w:top w:w="0" w:type="dxa"/>
            <w:left w:w="0" w:type="dxa"/>
            <w:bottom w:w="0" w:type="dxa"/>
            <w:right w:w="0" w:type="dxa"/>
          </w:tblCellMar>
        </w:tblPrEx>
        <w:trPr>
          <w:trHeight w:val="285" w:hRule="atLeast"/>
        </w:trPr>
        <w:tc>
          <w:tcPr>
            <w:tcW w:w="26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设备维修</w:t>
            </w:r>
          </w:p>
        </w:tc>
        <w:tc>
          <w:tcPr>
            <w:tcW w:w="262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设备维修单</w:t>
            </w:r>
          </w:p>
        </w:tc>
        <w:tc>
          <w:tcPr>
            <w:tcW w:w="300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rPr>
                <w:rFonts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5X8驻场/其余时间电话</w:t>
            </w:r>
          </w:p>
        </w:tc>
      </w:tr>
      <w:tr>
        <w:tblPrEx>
          <w:tblCellMar>
            <w:top w:w="0" w:type="dxa"/>
            <w:left w:w="0" w:type="dxa"/>
            <w:bottom w:w="0" w:type="dxa"/>
            <w:right w:w="0" w:type="dxa"/>
          </w:tblCellMar>
        </w:tblPrEx>
        <w:trPr>
          <w:trHeight w:val="285" w:hRule="atLeast"/>
        </w:trPr>
        <w:tc>
          <w:tcPr>
            <w:tcW w:w="26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leftChars="0"/>
              <w:rPr>
                <w:rFonts w:hint="eastAsia"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系统/网络优化分析</w:t>
            </w:r>
          </w:p>
        </w:tc>
        <w:tc>
          <w:tcPr>
            <w:tcW w:w="2625"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leftChars="0"/>
              <w:rPr>
                <w:rFonts w:hint="eastAsia"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系统/网络优化建议</w:t>
            </w:r>
          </w:p>
        </w:tc>
        <w:tc>
          <w:tcPr>
            <w:tcW w:w="300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autoSpaceDE w:val="0"/>
              <w:autoSpaceDN w:val="0"/>
              <w:spacing w:before="0" w:after="0" w:line="560" w:lineRule="exact"/>
              <w:ind w:left="0" w:leftChars="0"/>
              <w:rPr>
                <w:rFonts w:hint="eastAsia" w:ascii="仿宋_GB2312" w:hAnsi="宋体" w:eastAsia="仿宋_GB2312"/>
                <w:kern w:val="2"/>
                <w:sz w:val="24"/>
                <w:szCs w:val="18"/>
                <w:lang w:val="en-US" w:eastAsia="zh-CN" w:bidi="ar-SA"/>
              </w:rPr>
            </w:pPr>
            <w:r>
              <w:rPr>
                <w:rFonts w:hint="eastAsia" w:ascii="仿宋_GB2312" w:hAnsi="宋体" w:eastAsia="仿宋_GB2312"/>
                <w:kern w:val="2"/>
                <w:sz w:val="24"/>
                <w:szCs w:val="18"/>
                <w:lang w:val="en-US" w:eastAsia="zh-CN" w:bidi="ar-SA"/>
              </w:rPr>
              <w:t>按用户计划</w:t>
            </w:r>
          </w:p>
        </w:tc>
      </w:tr>
    </w:tbl>
    <w:p>
      <w:pPr>
        <w:widowControl/>
        <w:snapToGrid w:val="0"/>
        <w:spacing w:line="480" w:lineRule="exact"/>
        <w:ind w:left="0" w:firstLine="560" w:firstLineChars="200"/>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firstLine="560"/>
        <w:textAlignment w:val="auto"/>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30"/>
          <w:szCs w:val="30"/>
          <w:lang w:val="en-US" w:eastAsia="zh-CN"/>
        </w:rPr>
        <w:t xml:space="preserve"> 广西壮族自治区疾病预防控制中心</w:t>
      </w:r>
    </w:p>
    <w:p>
      <w:pPr>
        <w:keepNext w:val="0"/>
        <w:keepLines w:val="0"/>
        <w:pageBreakBefore w:val="0"/>
        <w:widowControl w:val="0"/>
        <w:kinsoku/>
        <w:wordWrap/>
        <w:overflowPunct/>
        <w:topLinePunct w:val="0"/>
        <w:autoSpaceDE/>
        <w:autoSpaceDN/>
        <w:bidi w:val="0"/>
        <w:adjustRightInd/>
        <w:snapToGrid w:val="0"/>
        <w:spacing w:line="520" w:lineRule="exact"/>
        <w:ind w:left="0" w:firstLine="56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bookmarkStart w:id="0" w:name="_GoBack"/>
      <w:bookmarkEnd w:id="0"/>
      <w:r>
        <w:rPr>
          <w:rFonts w:hint="eastAsia" w:ascii="仿宋" w:hAnsi="仿宋" w:eastAsia="仿宋" w:cs="仿宋"/>
          <w:sz w:val="30"/>
          <w:szCs w:val="30"/>
          <w:lang w:val="en-US" w:eastAsia="zh-CN"/>
        </w:rPr>
        <w:t xml:space="preserve">                                2022年6月13日</w:t>
      </w:r>
    </w:p>
    <w:p/>
    <w:sectPr>
      <w:pgSz w:w="11906" w:h="16838"/>
      <w:pgMar w:top="1701" w:right="1474" w:bottom="1247"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2NmOTM4NzE2ZTRmNDI5MGYxMmQ3N2IyNzljOWUifQ=="/>
  </w:docVars>
  <w:rsids>
    <w:rsidRoot w:val="59FC7F6D"/>
    <w:rsid w:val="59FC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autoSpaceDN/>
      <w:spacing w:before="0" w:after="0" w:line="240" w:lineRule="auto"/>
      <w:ind w:left="3584"/>
      <w:jc w:val="both"/>
    </w:pPr>
    <w:rPr>
      <w:rFonts w:ascii="Times New Roman" w:hAnsi="Times New Roman" w:eastAsia="宋体" w:cs="Times New Roma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2022-06-13T03:42:00Z</dcterms:created>
  <dc:creator>奕</dc:creator>
  <cp:lastModifiedBy>奕</cp:lastModifiedBy>
  <dcterms:modified xsi:type="dcterms:W3CDTF">2022-06-13T03:46:17Z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CCAFB92D280F47D79B014A12FEAE5499</vt:lpwstr>
  </property>
</Properties>
</file>