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wrap="around"/>
      </w:pPr>
      <w:r>
        <w:t>DB</w:t>
      </w:r>
      <w:bookmarkStart w:id="0" w:name="c3"/>
      <w:r>
        <w:rPr>
          <w:rFonts w:hint="eastAsia"/>
        </w:rPr>
        <w:t>S</w:t>
      </w:r>
      <w:r>
        <w:fldChar w:fldCharType="begin">
          <w:ffData>
            <w:name w:val="c3"/>
            <w:enabled/>
            <w:calcOnExit w:val="0"/>
            <w:textInput>
              <w:maxLength w:val="2"/>
            </w:textInput>
          </w:ffData>
        </w:fldChar>
      </w:r>
      <w:r>
        <w:instrText xml:space="preserve"> FORMTEXT </w:instrText>
      </w:r>
      <w:r>
        <w:fldChar w:fldCharType="separate"/>
      </w:r>
      <w:r>
        <w:rPr>
          <w:rFonts w:hint="eastAsia"/>
        </w:rPr>
        <w:t>45</w:t>
      </w:r>
      <w:r>
        <w:fldChar w:fldCharType="end"/>
      </w:r>
      <w:bookmarkEnd w:id="0"/>
    </w:p>
    <w:p>
      <w:pPr>
        <w:pStyle w:val="74"/>
        <w:framePr w:wrap="around"/>
      </w:pPr>
      <w:bookmarkStart w:id="1" w:name="c4"/>
      <w:r>
        <w:fldChar w:fldCharType="begin">
          <w:ffData>
            <w:name w:val="c4"/>
            <w:enabled/>
            <w:calcOnExit w:val="0"/>
            <w:textInput/>
          </w:ffData>
        </w:fldChar>
      </w:r>
      <w:r>
        <w:instrText xml:space="preserve"> FORMTEXT </w:instrText>
      </w:r>
      <w:r>
        <w:fldChar w:fldCharType="separate"/>
      </w:r>
      <w:r>
        <w:rPr>
          <w:rFonts w:hint="eastAsia"/>
        </w:rPr>
        <w:t>广西壮族自治区</w:t>
      </w:r>
      <w:r>
        <w:fldChar w:fldCharType="end"/>
      </w:r>
      <w:bookmarkEnd w:id="1"/>
      <w:r>
        <w:rPr>
          <w:rFonts w:hint="eastAsia"/>
        </w:rPr>
        <w:t>地方标准</w:t>
      </w:r>
    </w:p>
    <w:p>
      <w:pPr>
        <w:pStyle w:val="83"/>
        <w:framePr w:wrap="around"/>
        <w:rPr>
          <w:rFonts w:hint="eastAsia"/>
        </w:rPr>
      </w:pPr>
      <w:r>
        <w:rPr>
          <w:rFonts w:ascii="Times New Roman" w:hAnsi="Times New Roman"/>
        </w:rPr>
        <w:t>DB</w:t>
      </w:r>
      <w:r>
        <w:rPr>
          <w:rFonts w:hint="eastAsia" w:ascii="Times New Roman" w:hAnsi="Times New Roman"/>
        </w:rPr>
        <w:t>S</w:t>
      </w:r>
      <w:bookmarkStart w:id="2"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 xml:space="preserve"> 45</w:t>
      </w:r>
      <w:r>
        <w:fldChar w:fldCharType="end"/>
      </w:r>
      <w:bookmarkEnd w:id="2"/>
      <w:r>
        <w:t>/</w:t>
      </w:r>
      <w:bookmarkStart w:id="3" w:name="StdNo1"/>
      <w:r>
        <w:fldChar w:fldCharType="begin">
          <w:ffData>
            <w:name w:val="StdNo1"/>
            <w:enabled/>
            <w:calcOnExit w:val="0"/>
            <w:textInput>
              <w:default w:val="XXXXX"/>
            </w:textInput>
          </w:ffData>
        </w:fldChar>
      </w:r>
      <w:r>
        <w:instrText xml:space="preserve"> FORMTEXT </w:instrText>
      </w:r>
      <w:r>
        <w:fldChar w:fldCharType="separate"/>
      </w:r>
      <w:r>
        <w:rPr>
          <w:rFonts w:hint="eastAsia"/>
        </w:rPr>
        <w:t>050</w:t>
      </w:r>
      <w:r>
        <w:fldChar w:fldCharType="end"/>
      </w:r>
      <w:bookmarkEnd w:id="3"/>
      <w:r>
        <w:t>—</w:t>
      </w:r>
      <w:r>
        <w:rPr>
          <w:rFonts w:hint="eastAsia"/>
        </w:rPr>
        <w:t>2021</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59"/>
              <w:framePr w:wrap="around"/>
            </w:pPr>
            <w:bookmarkStart w:id="4" w:name="DT"/>
            <w:r>
              <w:rPr>
                <w:lang w:val="en-US" w:eastAsia="zh-CN"/>
              </w:rPr>
              <mc:AlternateContent>
                <mc:Choice Requires="wps">
                  <w:drawing>
                    <wp:anchor distT="0" distB="0" distL="113665" distR="113665"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矩形 2"/>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wrap="square" upright="1"/>
                          </wps:wsp>
                        </a:graphicData>
                      </a:graphic>
                    </wp:anchor>
                  </w:drawing>
                </mc:Choice>
                <mc:Fallback>
                  <w:pict>
                    <v:rect id="矩形 2"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L0ShFLAAQAAdgMAAA4AAABkcnMvZTJvRG9jLnhtbK1TS47U&#10;MBDdI3EHy3s6H5jREHV6FrSaDYKRBg7gdpzEkn9UuTvdp0FixyE4DuIalJ3QA8NmFmThVNnlV/Ve&#10;lde3J2vYUQFq71perUrOlJO+025o+aePuxc3nGEUrhPGO9Xys0J+u3n+bD2FRtV+9KZTwAjEYTOF&#10;lo8xhqYoUI7KClz5oBwd9h6siOTCUHQgJkK3pqjL8rqYPHQBvFSItLudD/mCCE8B9H2vpdp6ebDK&#10;xRkVlBGRKOGoA/JNrrbvlYwf+h5VZKblxDTmlZKQvU9rsVmLZgARRi2XEsRTSnjEyQrtKOkFaiui&#10;YAfQ/0BZLcGj7+NKelvMRLIixKIqH2lzP4qgMheSGsNFdPx/sPL98Q6Y7mgSOHPCUsN/fvn24/tX&#10;VidtpoANhdyHO1g8JDMRPfVg058osFPW83zRU50ik7RZVa9eliVJLemsrm+uySaY4uF2AIxvlbcs&#10;GS0H6leWURzfYZxDf4ekZOiN7nbamOzAsH9jgB0F9XaXvwX9rzDj2NTy11f1VUZ2Pt2foY2jYhLF&#10;mVSy9r47kyATTUTL8fNBgOLsEEAPI9VX5QQpjtqRiSyjk/r9p59xH57L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eYPLL1gAAAAgBAAAPAAAAAAAAAAEAIAAAACIAAABkcnMvZG93bnJldi54bWxQ&#10;SwECFAAUAAAACACHTuJAvRKEUsABAAB2AwAADgAAAAAAAAABACAAAAAlAQAAZHJzL2Uyb0RvYy54&#10;bWxQSwUGAAAAAAYABgBZAQAAVwUAAAAA&#10;">
                      <v:fill on="t" focussize="0,0"/>
                      <v:stroke on="f"/>
                      <v:imagedata o:title=""/>
                      <o:lock v:ext="edit" aspectratio="f"/>
                    </v:rect>
                  </w:pict>
                </mc:Fallback>
              </mc:AlternateContent>
            </w:r>
            <w:r>
              <w:fldChar w:fldCharType="begin">
                <w:ffData>
                  <w:enabled/>
                  <w:calcOnExit w:val="0"/>
                  <w:textInput/>
                </w:ffData>
              </w:fldChar>
            </w:r>
            <w:r>
              <w:instrText xml:space="preserve"> FORMTEXT </w:instrText>
            </w:r>
            <w:r>
              <w:fldChar w:fldCharType="separate"/>
            </w:r>
            <w:r>
              <w:t>   代替</w:t>
            </w:r>
            <w:r>
              <w:rPr>
                <w:rFonts w:hint="eastAsia"/>
              </w:rPr>
              <w:t>DBS45/050-2018</w:t>
            </w:r>
            <w:r>
              <w:t>  </w:t>
            </w:r>
            <w:r>
              <w:fldChar w:fldCharType="end"/>
            </w:r>
            <w:bookmarkEnd w:id="4"/>
          </w:p>
        </w:tc>
      </w:tr>
    </w:tbl>
    <w:p>
      <w:pPr>
        <w:pStyle w:val="83"/>
        <w:framePr w:wrap="around"/>
      </w:pPr>
    </w:p>
    <w:p>
      <w:pPr>
        <w:pStyle w:val="83"/>
        <w:framePr w:wrap="around"/>
      </w:pPr>
    </w:p>
    <w:p>
      <w:pPr>
        <w:pStyle w:val="43"/>
        <w:framePr w:wrap="around"/>
      </w:pPr>
      <w:bookmarkStart w:id="5" w:name="StdName"/>
      <w:r>
        <w:fldChar w:fldCharType="begin">
          <w:ffData>
            <w:name w:val="StdName"/>
            <w:enabled/>
            <w:calcOnExit w:val="0"/>
            <w:textInput>
              <w:default w:val="食品安全地方标准                    鲜湿米粉"/>
            </w:textInput>
          </w:ffData>
        </w:fldChar>
      </w:r>
      <w:r>
        <w:instrText xml:space="preserve"> FORMTEXT </w:instrText>
      </w:r>
      <w:r>
        <w:fldChar w:fldCharType="separate"/>
      </w:r>
      <w:r>
        <w:rPr>
          <w:rFonts w:hint="eastAsia"/>
          <w:lang w:val="en-US" w:eastAsia="zh-CN"/>
        </w:rPr>
        <w:t>食品安全地方标准                    鲜湿米粉</w:t>
      </w:r>
      <w:r>
        <w:fldChar w:fldCharType="end"/>
      </w:r>
      <w:bookmarkEnd w:id="5"/>
    </w:p>
    <w:p>
      <w:pPr>
        <w:pStyle w:val="43"/>
        <w:framePr w:wrap="around"/>
      </w:pPr>
    </w:p>
    <w:p>
      <w:pPr>
        <w:pStyle w:val="45"/>
        <w:framePr w:wrap="around"/>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46"/>
              <w:framePr w:wrap="around"/>
            </w:pPr>
            <w:r>
              <w:rPr>
                <w:lang w:val="en-US" w:eastAsia="zh-CN"/>
              </w:rPr>
              <mc:AlternateContent>
                <mc:Choice Requires="wps">
                  <w:drawing>
                    <wp:anchor distT="0" distB="0" distL="113665" distR="113665"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矩形 4"/>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wrap="square" upright="1"/>
                          </wps:wsp>
                        </a:graphicData>
                      </a:graphic>
                    </wp:anchor>
                  </w:drawing>
                </mc:Choice>
                <mc:Fallback>
                  <w:pict>
                    <v:rect id="矩形 4"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6bUHYsEBAAB2AwAADgAAAGRycy9lMm9Eb2MueG1srVNLbtsw&#10;EN0XyB0I7mPJTlw0guUsajibog2Q9gA0RUkE+OsMbdmnKdBdD9HjFL1Gh5TqtMkmi2hBzXCGb+a9&#10;IVe3R2vYQQFq72o+n5WcKSd9o11X8y+ft5fvOMMoXCOMd6rmJ4X8dn3xZjWESi18702jgBGIw2oI&#10;Ne9jDFVRoOyVFTjzQTkKth6siORCVzQgBkK3pliU5dti8NAE8FIh0u5mDPIJEV4C6NtWS7Xxcm+V&#10;iyMqKCMiUcJeB+Tr3G3bKhk/tS2qyEzNiWnMKxUhe5fWYr0SVQci9FpOLYiXtPCEkxXaUdEz1EZE&#10;wfagn0FZLcGjb+NMeluMRLIixGJePtHmoRdBZS4kNYaz6Ph6sPLj4R6Ybmp+xZkTlgb++9uPXz+/&#10;s+ukzRCwopSHcA+Th2QmoscWbPoTBXbMep7OeqpjZJI25zflsixJakmxxfI62QRTPJ4OgPFOecuS&#10;UXOgeWUZxeEDxjH1b0oqht7oZquNyQ50u/cG2EHQbLf5m9D/SzOODTW/WS6WGdn5dH6ENo6aSRRH&#10;Usna+eZEggx0I2qOX/cCFGf7ALrrqb95LpDyaByZyHR10rz/9TPu43NZ/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Fia6S1QAAAAoBAAAPAAAAAAAAAAEAIAAAACIAAABkcnMvZG93bnJldi54bWxQ&#10;SwECFAAUAAAACACHTuJA6bUHYsEBAAB2AwAADgAAAAAAAAABACAAAAAkAQAAZHJzL2Uyb0RvYy54&#10;bWxQSwUGAAAAAAYABgBZAQAAVwUAAAAA&#10;">
                      <v:fill on="t" focussize="0,0"/>
                      <v:stroke on="f"/>
                      <v:imagedata o:title=""/>
                      <o:lock v:ext="edit" aspectratio="f"/>
                      <w10:anchorlock/>
                    </v:rect>
                  </w:pict>
                </mc:Fallback>
              </mc:AlternateContent>
            </w:r>
            <w:r>
              <w:rPr>
                <w:lang w:val="en-US" w:eastAsia="zh-CN"/>
              </w:rPr>
              <mc:AlternateContent>
                <mc:Choice Requires="wps">
                  <w:drawing>
                    <wp:anchor distT="0" distB="0" distL="113665" distR="113665"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矩形 3"/>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wrap="square" upright="1"/>
                          </wps:wsp>
                        </a:graphicData>
                      </a:graphic>
                    </wp:anchor>
                  </w:drawing>
                </mc:Choice>
                <mc:Fallback>
                  <w:pict>
                    <v:rect id="矩形 3"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ynvnBAQAAdgMAAA4AAABkcnMvZTJvRG9jLnhtbK1TzY7T&#10;MBC+I/EOlu80aZaFJWq6B6pyQbDSLg/gOk5iyX/MuE37NEjceAgeB/EajJ3QZXcve8AHZ8Yz/ma+&#10;b5zV9dEadlCA2ruGLxclZ8pJ32rXN/zL3fbVFWcYhWuF8U41/KSQX69fvliNoVaVH7xpFTACcViP&#10;oeFDjKEuCpSDsgIXPihHwc6DFZFc6IsWxEjo1hRVWb4pRg9tAC8VIp1upiCfEeE5gL7rtFQbL/dW&#10;uTihgjIiEiUcdEC+zt12nZLxc9ehisw0nJjGvFMRsndpL9YrUfcgwqDl3IJ4TguPOFmhHRU9Q21E&#10;FGwP+gmU1RI8+i4upLfFRCQrQiyW5SNtbgcRVOZCUmM4i47/D1Z+OtwA023DK86csDTw399+/Pr5&#10;nV0kbcaANaXchhuYPSQzET12YNOXKLBj1vN01lMdI5N0uKzelrQ4kxS7KF9fkU0wxf3tABg/KG9Z&#10;MhoONK8sozh8xDil/k1JxdAb3W61MdmBfvfeADsImu02rxn9QZpxbGz4u8vqMiM7n+5P0MZRM4ni&#10;RCpZO9+eSJCRXkTD8etegOJsH0D3A/W3zAVSHo0jE5mfTpr3v37Gvf9d1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GL5dYAAAAJAQAADwAAAAAAAAABACAAAAAiAAAAZHJzL2Rvd25yZXYueG1s&#10;UEsBAhQAFAAAAAgAh07iQE/ynvnBAQAAdgMAAA4AAAAAAAAAAQAgAAAAJQEAAGRycy9lMm9Eb2Mu&#10;eG1sUEsFBgAAAAAGAAYAWQEAAFg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55"/>
              <w:framePr w:wrap="around"/>
            </w:pPr>
          </w:p>
        </w:tc>
      </w:tr>
    </w:tbl>
    <w:p>
      <w:pPr>
        <w:pStyle w:val="129"/>
        <w:framePr w:wrap="around"/>
      </w:pPr>
      <w:r>
        <w:rPr>
          <w:rFonts w:hint="eastAsia" w:ascii="黑体"/>
        </w:rPr>
        <w:t>2021</w:t>
      </w:r>
      <w:r>
        <w:t xml:space="preserve"> </w:t>
      </w:r>
      <w:r>
        <w:rPr>
          <w:rFonts w:hint="eastAsia" w:ascii="黑体"/>
        </w:rPr>
        <w:t>-</w:t>
      </w:r>
      <w:r>
        <w:t>10</w:t>
      </w:r>
      <w:r>
        <w:rPr>
          <w:rFonts w:hint="eastAsia" w:ascii="黑体"/>
        </w:rPr>
        <w:t>-</w:t>
      </w:r>
      <w:r>
        <w:t xml:space="preserve"> </w:t>
      </w:r>
      <w:r>
        <w:rPr>
          <w:rFonts w:hint="eastAsia" w:ascii="黑体"/>
        </w:rPr>
        <w:t>25</w:t>
      </w:r>
      <w:r>
        <w:rPr>
          <w:rFonts w:hint="eastAsia"/>
        </w:rPr>
        <w:t>发布</w:t>
      </w:r>
      <w:r>
        <mc:AlternateContent>
          <mc:Choice Requires="wps">
            <w:drawing>
              <wp:anchor distT="0" distB="0" distL="113665" distR="113665" simplePos="0" relativeHeight="251662336" behindDoc="0" locked="1" layoutInCell="1" allowOverlap="1">
                <wp:simplePos x="0" y="0"/>
                <wp:positionH relativeFrom="column">
                  <wp:posOffset>0</wp:posOffset>
                </wp:positionH>
                <wp:positionV relativeFrom="page">
                  <wp:posOffset>9251950</wp:posOffset>
                </wp:positionV>
                <wp:extent cx="6119495" cy="0"/>
                <wp:effectExtent l="0" t="0" r="0" b="0"/>
                <wp:wrapNone/>
                <wp:docPr id="4" name="直线 5"/>
                <wp:cNvGraphicFramePr/>
                <a:graphic xmlns:a="http://schemas.openxmlformats.org/drawingml/2006/main">
                  <a:graphicData uri="http://schemas.microsoft.com/office/word/2010/wordprocessingShape">
                    <wps:wsp>
                      <wps:cNvCnPr/>
                      <wps:spPr>
                        <a:xfrm>
                          <a:off x="0" y="0"/>
                          <a:ext cx="61194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728.5pt;height:0pt;width:481.85pt;mso-position-vertical-relative:page;z-index:251662336;mso-width-relative:page;mso-height-relative:page;" filled="f" stroked="t" coordsize="21600,21600" o:gfxdata="UEsDBAoAAAAAAIdO4kAAAAAAAAAAAAAAAAAEAAAAZHJzL1BLAwQUAAAACACHTuJAIiG5O9YAAAAK&#10;AQAADwAAAGRycy9kb3ducmV2LnhtbE2PT0/DMAzF70h8h8hIXCaWbIMNStMdgN64MEBcvca0FY3T&#10;Ndkf+PQzhwlu9nvW8+/ly4Pv1I6G2Aa2MBkbUMRVcC3XFt5ey6tbUDEhO+wCk4VvirAszs9yzFzY&#10;8wvtVqlWEsIxQwtNSn2mdawa8hjHoScW7zMMHpOsQ63dgHsJ952eGjPXHluWDw329NBQ9bXaegux&#10;fKdN+TOqRuZjVgeabh6fn9Day4uJuQeV6JD+juEXX9ChEKZ12LKLqrMgRZKo1zcLmcS/m88WoNYn&#10;SRe5/l+hOAJQSwMEFAAAAAgAh07iQLqSxh/oAQAA2wMAAA4AAABkcnMvZTJvRG9jLnhtbK1TS27b&#10;MBDdF+gdCO5r2UYc1ILlLOKmm6I10OYAY5KSCPAHDm3ZZ+k1uuqmx8k1OqQcp003XlQLasgZvpn3&#10;Zri6O1rDDiqi9q7hs8mUM+WEl9p1DX/89vDuPWeYwEkw3qmGnxTyu/XbN6sh1Grue2+kioxAHNZD&#10;aHifUqirCkWvLODEB+XI2fpoIdE2dpWMMBC6NdV8Or2tBh9liF4oRDrdjE5+RozXAPq21UJtvNhb&#10;5dKIGpWBRJSw1wH5ulTbtkqkL22LKjHTcGKaykpJyN7ltVqvoO4ihF6LcwlwTQmvOFnQjpJeoDaQ&#10;gO2j/gfKahE9+jZNhLfVSKQoQixm01fafO0hqMKFpMZwER3/H6z4fNhGpmXDbzhzYKnhT99/PP38&#10;xRZZmyFgTSH3bhvPOwzbmIke22jznyiwY9HzdNFTHRMTdHg7my1vlgvOxLOverkYIqaPyluWjYYb&#10;7TJVqOHwCRMlo9DnkHxsHBsavlzMMxzQ3LXUbzJtoNrRdeUueqPlgzYm38DY7e5NZAfIvS9fpkS4&#10;f4XlJBvAfowrrnEqegXyg5MsnQKp4ugx8FyCVZIzo+jtZIsAoU6gzTWRlNo4qiCrOuqYrZ2XJ+rB&#10;PkTd9aTErFSZPdTzUu95PvNQ/bkvSC9vc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iG5O9YA&#10;AAAKAQAADwAAAAAAAAABACAAAAAiAAAAZHJzL2Rvd25yZXYueG1sUEsBAhQAFAAAAAgAh07iQLqS&#10;xh/oAQAA2wMAAA4AAAAAAAAAAQAgAAAAJQEAAGRycy9lMm9Eb2MueG1sUEsFBgAAAAAGAAYAWQEA&#10;AH8FAAAAAA==&#10;">
                <v:fill on="f" focussize="0,0"/>
                <v:stroke color="#000000" joinstyle="round"/>
                <v:imagedata o:title=""/>
                <o:lock v:ext="edit" aspectratio="f"/>
                <w10:anchorlock/>
              </v:line>
            </w:pict>
          </mc:Fallback>
        </mc:AlternateContent>
      </w:r>
    </w:p>
    <w:p>
      <w:pPr>
        <w:pStyle w:val="100"/>
        <w:framePr w:wrap="around"/>
      </w:pPr>
      <w:r>
        <w:rPr>
          <w:rFonts w:hint="eastAsia" w:ascii="黑体"/>
        </w:rPr>
        <w:t>2022</w:t>
      </w:r>
      <w:r>
        <w:t xml:space="preserve"> </w:t>
      </w:r>
      <w:r>
        <w:rPr>
          <w:rFonts w:hint="eastAsia" w:ascii="黑体"/>
        </w:rPr>
        <w:t>-</w:t>
      </w:r>
      <w:r>
        <w:t xml:space="preserve"> </w:t>
      </w:r>
      <w:r>
        <w:rPr>
          <w:rFonts w:hint="eastAsia" w:ascii="黑体"/>
        </w:rPr>
        <w:t>04-</w:t>
      </w:r>
      <w:r>
        <w:t xml:space="preserve"> </w:t>
      </w:r>
      <w:r>
        <w:rPr>
          <w:rFonts w:hint="eastAsia" w:ascii="黑体"/>
        </w:rPr>
        <w:t>25</w:t>
      </w:r>
      <w:r>
        <w:rPr>
          <w:rFonts w:hint="eastAsia"/>
        </w:rPr>
        <w:t>实施</w:t>
      </w:r>
    </w:p>
    <w:p>
      <w:pPr>
        <w:pStyle w:val="117"/>
        <w:framePr w:w="8209" w:wrap="around"/>
      </w:pPr>
      <w:bookmarkStart w:id="6" w:name="fm"/>
      <w:r>
        <w:fldChar w:fldCharType="begin">
          <w:ffData>
            <w:name w:val="fm"/>
            <w:enabled/>
            <w:calcOnExit w:val="0"/>
            <w:textInput>
              <w:default w:val="广西壮族自治区卫生健康委员会"/>
            </w:textInput>
          </w:ffData>
        </w:fldChar>
      </w:r>
      <w:r>
        <w:instrText xml:space="preserve"> FORMTEXT </w:instrText>
      </w:r>
      <w:r>
        <w:fldChar w:fldCharType="separate"/>
      </w:r>
      <w:r>
        <w:rPr>
          <w:rFonts w:hint="eastAsia"/>
          <w:lang w:val="en-US" w:eastAsia="zh-CN"/>
        </w:rPr>
        <w:t>广西壮族自治区卫生健康委员会</w:t>
      </w:r>
      <w:r>
        <w:fldChar w:fldCharType="end"/>
      </w:r>
      <w:bookmarkEnd w:id="6"/>
      <w:r>
        <w:rPr>
          <w:rFonts w:hint="eastAsia"/>
        </w:rPr>
        <w:t xml:space="preserve"> 发布</w:t>
      </w:r>
      <w:r>
        <w:t>   </w:t>
      </w:r>
    </w:p>
    <w:p>
      <w:pPr>
        <w:pStyle w:val="22"/>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3665" distR="113665" simplePos="0" relativeHeight="251663360" behindDoc="0" locked="0" layoutInCell="1" allowOverlap="1">
                <wp:simplePos x="0" y="0"/>
                <wp:positionH relativeFrom="column">
                  <wp:posOffset>0</wp:posOffset>
                </wp:positionH>
                <wp:positionV relativeFrom="paragraph">
                  <wp:posOffset>2339975</wp:posOffset>
                </wp:positionV>
                <wp:extent cx="6119495" cy="0"/>
                <wp:effectExtent l="0" t="0" r="0" b="0"/>
                <wp:wrapNone/>
                <wp:docPr id="5" name="直线 6"/>
                <wp:cNvGraphicFramePr/>
                <a:graphic xmlns:a="http://schemas.openxmlformats.org/drawingml/2006/main">
                  <a:graphicData uri="http://schemas.microsoft.com/office/word/2010/wordprocessingShape">
                    <wps:wsp>
                      <wps:cNvCnPr/>
                      <wps:spPr>
                        <a:xfrm>
                          <a:off x="0" y="0"/>
                          <a:ext cx="61194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184.25pt;height:0pt;width:481.85pt;z-index:251663360;mso-width-relative:page;mso-height-relative:page;" filled="f" stroked="t" coordsize="21600,21600" o:gfxdata="UEsDBAoAAAAAAIdO4kAAAAAAAAAAAAAAAAAEAAAAZHJzL1BLAwQUAAAACACHTuJAcVOd7dYAAAAI&#10;AQAADwAAAGRycy9kb3ducmV2LnhtbE2PzU7DMBCE70i8g7VIXKrWbiPSNo3TA5AbFwqo1228TSLi&#10;dRq7P/D0GKkSHGdnNfNNvr7YTpxo8K1jDdOJAkFcOdNyreH9rRwvQPiAbLBzTBq+yMO6uL3JMTPu&#10;zK902oRaxBD2GWpoQugzKX3VkEU/cT1x9PZusBiiHGppBjzHcNvJmVKptNhybGiwp8eGqs/N0Wrw&#10;5Qcdyu9RNVLbpHY0Ozy9PKPW93dTtQIR6BL+nuEXP6JDEZl27sjGi05DHBI0JOniAUS0l2kyB7G7&#10;XmSRy/8Dih9QSwMEFAAAAAgAh07iQE/JwkLnAQAA2wMAAA4AAABkcnMvZTJvRG9jLnhtbK1TS27b&#10;MBDdF+gdCO5r2UZj1ILlLOKkm6I10PYAY5KSCPAHDm3ZZ+k1uuqmx8k1OqQcp003XkQLasgZvpn3&#10;Zri6PVrDDiqi9q7hs8mUM+WEl9p1Df/+7eHdB84wgZNgvFMNPynkt+u3b1ZDqNXc995IFRmBOKyH&#10;0PA+pVBXFYpeWcCJD8qRs/XRQqJt7CoZYSB0a6r5dLqoBh9liF4oRDrdjE5+RozXAPq21UJtvNhb&#10;5dKIGpWBRJSw1wH5ulTbtkqkL22LKjHTcGKaykpJyN7ltVqvoO4ihF6LcwlwTQkvOFnQjpJeoDaQ&#10;gO2j/g/KahE9+jZNhLfVSKQoQixm0xfafO0hqMKFpMZwER1fD1Z8Pmwj07LhN5w5sNTwxx8/H3/9&#10;ZouszRCwppA7t43nHYZtzESPbbT5TxTYseh5uuipjokJOlzMZsv3SwIWT77q+WKImD4qb1k2Gm60&#10;y1ShhsMnTJSMQp9C8rFxbGj48mae4YDmrqV+k2kD1Y6uK3fRGy0ftDH5BsZud2ciO0DuffkyJcL9&#10;Jywn2QD2Y1xxjVPRK5D3TrJ0CqSKo8fAcwlWSc6MoreTLQKEOoE210RSauOogqzqqGO2dl6eqAf7&#10;EHXXkxKzUmX2UM9Lvef5zEP1974gPb/J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xU53t1gAA&#10;AAgBAAAPAAAAAAAAAAEAIAAAACIAAABkcnMvZG93bnJldi54bWxQSwECFAAUAAAACACHTuJAT8nC&#10;QucBAADbAwAADgAAAAAAAAABACAAAAAlAQAAZHJzL2Uyb0RvYy54bWxQSwUGAAAAAAYABgBZAQAA&#10;fgUAAAAA&#10;">
                <v:fill on="f" focussize="0,0"/>
                <v:stroke color="#000000" joinstyle="round"/>
                <v:imagedata o:title=""/>
                <o:lock v:ext="edit" aspectratio="f"/>
              </v:line>
            </w:pict>
          </mc:Fallback>
        </mc:AlternateContent>
      </w:r>
    </w:p>
    <w:p>
      <w:pPr>
        <w:pStyle w:val="115"/>
        <w:rPr>
          <w:rFonts w:hint="eastAsia"/>
        </w:rPr>
      </w:pPr>
      <w:r>
        <w:rPr>
          <w:rFonts w:hint="eastAsia"/>
        </w:rPr>
        <w:t>前</w:t>
      </w:r>
      <w:bookmarkStart w:id="7" w:name="BKQY"/>
      <w:r>
        <w:t>  </w:t>
      </w:r>
      <w:r>
        <w:rPr>
          <w:rFonts w:hint="eastAsia"/>
        </w:rPr>
        <w:t>言</w:t>
      </w:r>
      <w:bookmarkEnd w:id="7"/>
    </w:p>
    <w:p>
      <w:pPr>
        <w:pStyle w:val="22"/>
        <w:rPr>
          <w:rFonts w:hint="eastAsia"/>
        </w:rPr>
      </w:pPr>
      <w:r>
        <w:rPr>
          <w:rFonts w:hint="eastAsia"/>
        </w:rPr>
        <w:t>本文件按照GB/T 1.1—2020《标准化工作导则 第1部分：标准化文件的结构和起草规则》的规定起草。</w:t>
      </w:r>
    </w:p>
    <w:p>
      <w:pPr>
        <w:pStyle w:val="22"/>
        <w:rPr>
          <w:rFonts w:hint="eastAsia"/>
        </w:rPr>
      </w:pPr>
      <w:r>
        <w:rPr>
          <w:rFonts w:hint="eastAsia"/>
        </w:rPr>
        <w:t>本文件代替DBS45/050-2018 《食品安全地方标准 鲜湿类米粉》</w:t>
      </w:r>
    </w:p>
    <w:p>
      <w:pPr>
        <w:pStyle w:val="22"/>
        <w:rPr>
          <w:rFonts w:hint="eastAsia"/>
        </w:rPr>
      </w:pPr>
      <w:r>
        <w:rPr>
          <w:rFonts w:hint="eastAsia"/>
        </w:rPr>
        <w:t>本文件与DBS45/050-2018相比，主要变化如下：</w:t>
      </w:r>
    </w:p>
    <w:p>
      <w:pPr>
        <w:pStyle w:val="56"/>
        <w:numPr>
          <w:ilvl w:val="0"/>
          <w:numId w:val="0"/>
        </w:numPr>
        <w:tabs>
          <w:tab w:val="clear" w:pos="0"/>
        </w:tabs>
        <w:ind w:left="425"/>
        <w:rPr>
          <w:rFonts w:hint="eastAsia"/>
        </w:rPr>
      </w:pPr>
      <w:r>
        <w:rPr>
          <w:rFonts w:hint="eastAsia"/>
        </w:rPr>
        <w:t>──修改了标准名称；</w:t>
      </w:r>
    </w:p>
    <w:p>
      <w:pPr>
        <w:pStyle w:val="56"/>
        <w:numPr>
          <w:ilvl w:val="0"/>
          <w:numId w:val="0"/>
        </w:numPr>
        <w:tabs>
          <w:tab w:val="clear" w:pos="0"/>
        </w:tabs>
        <w:ind w:left="425"/>
        <w:rPr>
          <w:rFonts w:hint="eastAsia"/>
        </w:rPr>
      </w:pPr>
      <w:r>
        <w:rPr>
          <w:rFonts w:hint="eastAsia"/>
        </w:rPr>
        <w:t>──修改了适用范围；</w:t>
      </w:r>
    </w:p>
    <w:p>
      <w:pPr>
        <w:pStyle w:val="56"/>
        <w:numPr>
          <w:ilvl w:val="0"/>
          <w:numId w:val="0"/>
        </w:numPr>
        <w:tabs>
          <w:tab w:val="clear" w:pos="0"/>
        </w:tabs>
        <w:ind w:left="425"/>
        <w:rPr>
          <w:rFonts w:hint="eastAsia"/>
        </w:rPr>
      </w:pPr>
      <w:r>
        <w:rPr>
          <w:rFonts w:hint="eastAsia"/>
        </w:rPr>
        <w:t>──修改了术语和定义；</w:t>
      </w:r>
    </w:p>
    <w:p>
      <w:pPr>
        <w:pStyle w:val="56"/>
        <w:numPr>
          <w:ilvl w:val="0"/>
          <w:numId w:val="0"/>
        </w:numPr>
        <w:tabs>
          <w:tab w:val="clear" w:pos="0"/>
        </w:tabs>
        <w:ind w:left="425"/>
        <w:rPr>
          <w:rFonts w:hint="eastAsia"/>
        </w:rPr>
      </w:pPr>
      <w:r>
        <w:rPr>
          <w:rFonts w:hint="eastAsia"/>
        </w:rPr>
        <w:t>──删除了产品分类；</w:t>
      </w:r>
    </w:p>
    <w:p>
      <w:pPr>
        <w:pStyle w:val="56"/>
        <w:numPr>
          <w:ilvl w:val="0"/>
          <w:numId w:val="0"/>
        </w:numPr>
        <w:tabs>
          <w:tab w:val="clear" w:pos="0"/>
        </w:tabs>
        <w:ind w:left="425"/>
        <w:rPr>
          <w:rFonts w:hint="eastAsia"/>
        </w:rPr>
      </w:pPr>
      <w:r>
        <w:rPr>
          <w:rFonts w:hint="eastAsia"/>
        </w:rPr>
        <w:t>──删除了其他原料要求；</w:t>
      </w:r>
    </w:p>
    <w:p>
      <w:pPr>
        <w:pStyle w:val="56"/>
        <w:numPr>
          <w:ilvl w:val="0"/>
          <w:numId w:val="0"/>
        </w:numPr>
        <w:tabs>
          <w:tab w:val="clear" w:pos="0"/>
        </w:tabs>
        <w:ind w:left="425"/>
        <w:rPr>
          <w:rFonts w:hint="eastAsia"/>
        </w:rPr>
      </w:pPr>
      <w:r>
        <w:rPr>
          <w:rFonts w:hint="eastAsia"/>
        </w:rPr>
        <w:t>──修改了感官要求；</w:t>
      </w:r>
    </w:p>
    <w:p>
      <w:pPr>
        <w:pStyle w:val="56"/>
        <w:numPr>
          <w:ilvl w:val="0"/>
          <w:numId w:val="0"/>
        </w:numPr>
        <w:tabs>
          <w:tab w:val="clear" w:pos="0"/>
        </w:tabs>
        <w:ind w:left="425"/>
        <w:rPr>
          <w:rFonts w:hint="eastAsia"/>
        </w:rPr>
      </w:pPr>
      <w:r>
        <w:rPr>
          <w:rFonts w:hint="eastAsia"/>
        </w:rPr>
        <w:t>──修改了水分指标；</w:t>
      </w:r>
    </w:p>
    <w:p>
      <w:pPr>
        <w:pStyle w:val="22"/>
        <w:rPr>
          <w:rFonts w:hint="eastAsia"/>
        </w:rPr>
      </w:pPr>
      <w:r>
        <w:rPr>
          <w:rFonts w:hint="eastAsia"/>
        </w:rPr>
        <w:t>──增加了蛋白质指标；</w:t>
      </w:r>
    </w:p>
    <w:p>
      <w:pPr>
        <w:pStyle w:val="56"/>
        <w:numPr>
          <w:ilvl w:val="0"/>
          <w:numId w:val="0"/>
        </w:numPr>
        <w:tabs>
          <w:tab w:val="clear" w:pos="0"/>
        </w:tabs>
        <w:ind w:left="425"/>
        <w:rPr>
          <w:rFonts w:hint="eastAsia"/>
        </w:rPr>
      </w:pPr>
      <w:r>
        <w:rPr>
          <w:rFonts w:hint="eastAsia"/>
        </w:rPr>
        <w:t>──修改了标签要求；</w:t>
      </w:r>
    </w:p>
    <w:p>
      <w:pPr>
        <w:pStyle w:val="56"/>
        <w:numPr>
          <w:ilvl w:val="0"/>
          <w:numId w:val="0"/>
        </w:numPr>
        <w:tabs>
          <w:tab w:val="clear" w:pos="0"/>
        </w:tabs>
        <w:ind w:left="425"/>
        <w:rPr>
          <w:rFonts w:hint="eastAsia"/>
        </w:rPr>
      </w:pPr>
      <w:r>
        <w:rPr>
          <w:rFonts w:hint="eastAsia"/>
        </w:rPr>
        <w:t>──修改了运输要求；</w:t>
      </w:r>
    </w:p>
    <w:p>
      <w:pPr>
        <w:pStyle w:val="56"/>
        <w:numPr>
          <w:ilvl w:val="0"/>
          <w:numId w:val="0"/>
        </w:numPr>
        <w:tabs>
          <w:tab w:val="clear" w:pos="0"/>
        </w:tabs>
        <w:ind w:left="425"/>
        <w:rPr>
          <w:rFonts w:hint="eastAsia"/>
        </w:rPr>
      </w:pPr>
      <w:r>
        <w:rPr>
          <w:rFonts w:hint="eastAsia"/>
        </w:rPr>
        <w:t>──修改了贮存及销售要求；</w:t>
      </w:r>
    </w:p>
    <w:p>
      <w:pPr>
        <w:pStyle w:val="22"/>
      </w:pPr>
      <w:r>
        <w:rPr>
          <w:rFonts w:hint="eastAsia"/>
          <w:lang w:val="en-US" w:eastAsia="zh-TW"/>
        </w:rPr>
        <w:t>本</w:t>
      </w:r>
      <w:r>
        <w:rPr>
          <w:rFonts w:hint="eastAsia"/>
          <w:lang w:val="en-US" w:eastAsia="zh-CN"/>
        </w:rPr>
        <w:t>文件</w:t>
      </w:r>
      <w:r>
        <w:rPr>
          <w:rFonts w:hint="eastAsia"/>
          <w:lang w:val="en-US" w:eastAsia="zh-TW"/>
        </w:rPr>
        <w:t>起草单位：</w:t>
      </w:r>
      <w:r>
        <w:rPr>
          <w:rFonts w:hint="eastAsia"/>
          <w:lang w:val="en-US" w:eastAsia="zh-CN"/>
        </w:rPr>
        <w:t>广西壮族自治区食品药品审评查验中心、广西民族大学。</w:t>
      </w:r>
    </w:p>
    <w:p>
      <w:pPr>
        <w:ind w:firstLine="420" w:firstLineChars="200"/>
        <w:rPr>
          <w:rFonts w:hint="eastAsia"/>
          <w:lang w:val="en-US" w:eastAsia="zh-CN"/>
        </w:rPr>
      </w:pPr>
      <w:r>
        <w:rPr>
          <w:rFonts w:hint="eastAsia"/>
          <w:lang w:val="en-US" w:eastAsia="zh-TW"/>
        </w:rPr>
        <w:t>本</w:t>
      </w:r>
      <w:r>
        <w:rPr>
          <w:rFonts w:hint="eastAsia"/>
          <w:lang w:val="en-US" w:eastAsia="zh-CN"/>
        </w:rPr>
        <w:t>文件主要</w:t>
      </w:r>
      <w:r>
        <w:rPr>
          <w:rFonts w:hint="eastAsia"/>
          <w:lang w:val="en-US" w:eastAsia="zh-TW"/>
        </w:rPr>
        <w:t>起草人：</w:t>
      </w:r>
      <w:r>
        <w:rPr>
          <w:rFonts w:hint="eastAsia"/>
          <w:lang w:val="en-US" w:eastAsia="zh-CN"/>
        </w:rPr>
        <w:t>段玉林、张玉贞、宁方尧、张少梅、边贺东、李文奇、温韬、缪璐、柳永英、农馥俏、蒙泳、刘青、罗志祥、王士伟、覃刘馨、阙之和、刘珈伶、阮海、</w:t>
      </w:r>
      <w:r>
        <w:rPr>
          <w:rFonts w:hint="eastAsia"/>
          <w:b w:val="0"/>
          <w:i w:val="0"/>
          <w:caps w:val="0"/>
          <w:spacing w:val="0"/>
          <w:w w:val="100"/>
          <w:sz w:val="21"/>
          <w:lang w:val="en-US" w:eastAsia="zh-CN"/>
        </w:rPr>
        <w:t>钟祖愿、</w:t>
      </w:r>
      <w:r>
        <w:rPr>
          <w:rFonts w:hint="eastAsia"/>
          <w:lang w:val="en-US" w:eastAsia="zh-CN"/>
        </w:rPr>
        <w:t>杨荣浩</w:t>
      </w:r>
      <w:bookmarkStart w:id="22" w:name="_GoBack"/>
      <w:bookmarkEnd w:id="22"/>
      <w:r>
        <w:rPr>
          <w:rFonts w:hint="eastAsia"/>
          <w:lang w:val="en-US" w:eastAsia="zh-CN"/>
        </w:rPr>
        <w:t>、孔祥军。</w:t>
      </w:r>
    </w:p>
    <w:p>
      <w:pPr>
        <w:pStyle w:val="22"/>
        <w:rPr>
          <w:rFonts w:hint="eastAsia"/>
        </w:rPr>
      </w:pPr>
    </w:p>
    <w:p>
      <w:pPr>
        <w:pStyle w:val="22"/>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22"/>
        <w:ind w:firstLine="640" w:firstLineChars="0"/>
        <w:jc w:val="center"/>
        <w:rPr>
          <w:rFonts w:hint="eastAsia"/>
        </w:rPr>
      </w:pPr>
      <w:r>
        <w:rPr>
          <w:rFonts w:hint="eastAsia" w:ascii="黑体" w:eastAsia="黑体"/>
          <w:sz w:val="32"/>
          <w:szCs w:val="32"/>
          <w:lang w:val="en-US" w:eastAsia="zh-CN"/>
        </w:rPr>
        <w:t>食品安全地方标准                                                          鲜湿米粉</w:t>
      </w:r>
    </w:p>
    <w:p>
      <w:pPr>
        <w:pStyle w:val="60"/>
        <w:rPr>
          <w:rFonts w:hint="eastAsia"/>
        </w:rPr>
      </w:pPr>
      <w:r>
        <w:rPr>
          <w:rFonts w:hint="eastAsia"/>
        </w:rPr>
        <w:t>范围</w:t>
      </w:r>
    </w:p>
    <w:p>
      <w:pPr>
        <w:pStyle w:val="22"/>
        <w:rPr>
          <w:u w:val="single"/>
        </w:rPr>
      </w:pPr>
      <w:r>
        <w:rPr>
          <w:rFonts w:hint="eastAsia"/>
          <w:lang w:val="en-US" w:eastAsia="zh-TW"/>
        </w:rPr>
        <w:t>本</w:t>
      </w:r>
      <w:r>
        <w:rPr>
          <w:rFonts w:hint="eastAsia"/>
          <w:lang w:val="en-US" w:eastAsia="zh-CN"/>
        </w:rPr>
        <w:t>文件</w:t>
      </w:r>
      <w:r>
        <w:rPr>
          <w:rFonts w:hint="eastAsia"/>
          <w:lang w:val="en-US" w:eastAsia="zh-TW"/>
        </w:rPr>
        <w:t>规定了</w:t>
      </w:r>
      <w:r>
        <w:rPr>
          <w:rFonts w:hint="eastAsia"/>
        </w:rPr>
        <w:t>鲜湿米粉</w:t>
      </w:r>
      <w:r>
        <w:rPr>
          <w:rFonts w:hint="eastAsia"/>
          <w:lang w:val="en-US" w:eastAsia="zh-TW"/>
        </w:rPr>
        <w:t>的术语和定义、</w:t>
      </w:r>
      <w:r>
        <w:rPr>
          <w:rFonts w:hint="eastAsia"/>
        </w:rPr>
        <w:t>产品分类、</w:t>
      </w:r>
      <w:r>
        <w:rPr>
          <w:rFonts w:hint="eastAsia"/>
          <w:lang w:val="en-US" w:eastAsia="zh-TW"/>
        </w:rPr>
        <w:t>要求、食品添加剂</w:t>
      </w:r>
      <w:r>
        <w:rPr>
          <w:rFonts w:hint="eastAsia"/>
          <w:lang w:val="en-US" w:eastAsia="zh-CN"/>
        </w:rPr>
        <w:t>、</w:t>
      </w:r>
      <w:r>
        <w:rPr>
          <w:rFonts w:hint="eastAsia"/>
          <w:lang w:val="en-US" w:eastAsia="zh-TW"/>
        </w:rPr>
        <w:t>生产加工过程</w:t>
      </w:r>
      <w:r>
        <w:rPr>
          <w:rFonts w:hint="eastAsia"/>
        </w:rPr>
        <w:t>的</w:t>
      </w:r>
      <w:r>
        <w:rPr>
          <w:rFonts w:hint="eastAsia"/>
          <w:lang w:val="en-US" w:eastAsia="zh-TW"/>
        </w:rPr>
        <w:t>卫生要求、检验方法、检验规则、标签、标志、包装、运输、贮存</w:t>
      </w:r>
      <w:r>
        <w:rPr>
          <w:rFonts w:hint="eastAsia"/>
        </w:rPr>
        <w:t>和保质期。</w:t>
      </w:r>
    </w:p>
    <w:p>
      <w:pPr>
        <w:pStyle w:val="22"/>
        <w:rPr>
          <w:rFonts w:hint="eastAsia"/>
          <w:lang w:val="en-US" w:eastAsia="zh-CN"/>
        </w:rPr>
      </w:pPr>
      <w:r>
        <w:rPr>
          <w:rFonts w:hint="eastAsia"/>
          <w:lang w:val="en-US" w:eastAsia="zh-TW"/>
        </w:rPr>
        <w:t>本</w:t>
      </w:r>
      <w:r>
        <w:rPr>
          <w:rFonts w:hint="eastAsia"/>
          <w:lang w:val="en-US" w:eastAsia="zh-CN"/>
        </w:rPr>
        <w:t>文件</w:t>
      </w:r>
      <w:r>
        <w:rPr>
          <w:rFonts w:hint="eastAsia"/>
          <w:lang w:val="en-US" w:eastAsia="zh-TW"/>
        </w:rPr>
        <w:t>适用于以</w:t>
      </w:r>
      <w:r>
        <w:rPr>
          <w:rFonts w:hint="eastAsia"/>
        </w:rPr>
        <w:t>大米（或糙米）为主要原料（</w:t>
      </w:r>
      <w:r>
        <w:rPr>
          <w:rFonts w:hint="eastAsia"/>
          <w:sz w:val="18"/>
          <w:szCs w:val="18"/>
        </w:rPr>
        <w:t>≥90%</w:t>
      </w:r>
      <w:r>
        <w:rPr>
          <w:rFonts w:hint="eastAsia"/>
        </w:rPr>
        <w:t>），经清洗、浸泡、磨浆（或粉碎）、调浆、发酵(或不发酵)、熟化、成型、冷却、包装等生产工艺加工制成的切粉（河粉、卷粉）或榨粉（圆粉）等预包装鲜湿米粉。</w:t>
      </w:r>
    </w:p>
    <w:p>
      <w:pPr>
        <w:pStyle w:val="60"/>
        <w:rPr>
          <w:rFonts w:hint="eastAsia"/>
        </w:rPr>
      </w:pPr>
      <w:r>
        <w:rPr>
          <w:rFonts w:hint="eastAsia"/>
        </w:rPr>
        <w:t>规范性引用文件</w:t>
      </w:r>
    </w:p>
    <w:p>
      <w:pPr>
        <w:pStyle w:val="22"/>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hint="eastAsia"/>
        </w:rPr>
      </w:pPr>
      <w:r>
        <w:rPr>
          <w:rFonts w:hint="eastAsia"/>
        </w:rPr>
        <w:t>GB/T 191  包装储运图示标志</w:t>
      </w:r>
    </w:p>
    <w:p>
      <w:pPr>
        <w:pStyle w:val="22"/>
        <w:rPr>
          <w:rFonts w:hint="eastAsia"/>
          <w:szCs w:val="21"/>
        </w:rPr>
      </w:pPr>
      <w:r>
        <w:rPr>
          <w:rFonts w:hint="eastAsia" w:cs="宋体"/>
          <w:lang w:bidi="ar-SA"/>
        </w:rPr>
        <w:t>GB/T 1354  大米</w:t>
      </w:r>
    </w:p>
    <w:p>
      <w:pPr>
        <w:pStyle w:val="22"/>
        <w:rPr>
          <w:szCs w:val="21"/>
        </w:rPr>
      </w:pPr>
      <w:r>
        <w:rPr>
          <w:rFonts w:hint="eastAsia"/>
          <w:szCs w:val="21"/>
        </w:rPr>
        <w:t>GB 2715  食品安全国家标准  粮食</w:t>
      </w:r>
    </w:p>
    <w:p>
      <w:pPr>
        <w:pStyle w:val="22"/>
        <w:rPr>
          <w:rFonts w:hint="eastAsia"/>
          <w:szCs w:val="21"/>
        </w:rPr>
      </w:pPr>
      <w:r>
        <w:rPr>
          <w:rFonts w:hint="eastAsia"/>
          <w:szCs w:val="21"/>
        </w:rPr>
        <w:t>GB 2716  食品安全国家标准  植物油</w:t>
      </w:r>
    </w:p>
    <w:p>
      <w:pPr>
        <w:pStyle w:val="22"/>
        <w:rPr>
          <w:szCs w:val="21"/>
        </w:rPr>
      </w:pPr>
      <w:r>
        <w:rPr>
          <w:rFonts w:hint="eastAsia"/>
          <w:szCs w:val="21"/>
        </w:rPr>
        <w:t>GB 2760  食品安全国家标准  食品添加剂使用标准</w:t>
      </w:r>
    </w:p>
    <w:p>
      <w:pPr>
        <w:pStyle w:val="22"/>
      </w:pPr>
      <w:r>
        <w:rPr>
          <w:rFonts w:hint="eastAsia"/>
        </w:rPr>
        <w:t xml:space="preserve">GB 2761  </w:t>
      </w:r>
      <w:r>
        <w:fldChar w:fldCharType="begin"/>
      </w:r>
      <w:r>
        <w:instrText xml:space="preserve">HYPERLINK "http://down.foodmate.net/standard/sort/3/28221.html" \o "GB 2761-2011 食品安全国家标准 食品中真菌毒素限量\" \\t \"_blank"</w:instrText>
      </w:r>
      <w:r>
        <w:fldChar w:fldCharType="separate"/>
      </w:r>
      <w:r>
        <w:t xml:space="preserve">食品安全国家标准 </w:t>
      </w:r>
      <w:r>
        <w:rPr>
          <w:rFonts w:hint="eastAsia"/>
        </w:rPr>
        <w:t xml:space="preserve"> </w:t>
      </w:r>
      <w:r>
        <w:t>食品中真菌毒素限量</w:t>
      </w:r>
      <w:r>
        <w:fldChar w:fldCharType="end"/>
      </w:r>
    </w:p>
    <w:p>
      <w:pPr>
        <w:pStyle w:val="22"/>
        <w:rPr>
          <w:rFonts w:cs="宋体"/>
          <w:szCs w:val="21"/>
          <w:lang w:bidi="ar-SA"/>
        </w:rPr>
      </w:pPr>
      <w:r>
        <w:rPr>
          <w:rFonts w:hint="eastAsia" w:cs="宋体"/>
          <w:szCs w:val="21"/>
          <w:lang w:bidi="ar-SA"/>
        </w:rPr>
        <w:t>GB 2762  食品安全国家标准  食品中污染物限量</w:t>
      </w:r>
    </w:p>
    <w:p>
      <w:pPr>
        <w:pStyle w:val="22"/>
        <w:rPr>
          <w:rFonts w:hint="eastAsia" w:cs="宋体"/>
          <w:szCs w:val="21"/>
          <w:lang w:bidi="ar-SA"/>
        </w:rPr>
      </w:pPr>
      <w:r>
        <w:rPr>
          <w:rFonts w:hint="eastAsia" w:cs="宋体"/>
          <w:szCs w:val="21"/>
          <w:lang w:bidi="ar-SA"/>
        </w:rPr>
        <w:t>GB 2763  食品安全国家标准  食品中农药最大残留限量</w:t>
      </w:r>
    </w:p>
    <w:p>
      <w:pPr>
        <w:pStyle w:val="22"/>
        <w:rPr>
          <w:rFonts w:cs="宋体"/>
          <w:szCs w:val="21"/>
          <w:lang w:bidi="ar-SA"/>
        </w:rPr>
      </w:pPr>
      <w:r>
        <w:rPr>
          <w:rFonts w:hint="eastAsia"/>
        </w:rPr>
        <w:t xml:space="preserve">GB 4789.1  </w:t>
      </w:r>
      <w:r>
        <w:rPr>
          <w:rFonts w:cs="宋体"/>
          <w:szCs w:val="21"/>
          <w:lang w:bidi="ar-SA"/>
        </w:rPr>
        <w:fldChar w:fldCharType="begin"/>
      </w:r>
      <w:r>
        <w:rPr>
          <w:rFonts w:cs="宋体"/>
          <w:szCs w:val="21"/>
          <w:lang w:bidi="ar-SA"/>
        </w:rPr>
        <w:instrText xml:space="preserve">HYPERLINK "http://down.foodmate.net/standard/sort/3/21700.html" \o "GB 4789.1-2010 食品安全国家标准 食品微生物学检验 总则\" \\t \"_blank"</w:instrText>
      </w:r>
      <w:r>
        <w:rPr>
          <w:rFonts w:cs="宋体"/>
          <w:szCs w:val="21"/>
          <w:lang w:bidi="ar-SA"/>
        </w:rPr>
        <w:fldChar w:fldCharType="separate"/>
      </w:r>
      <w:r>
        <w:rPr>
          <w:rFonts w:cs="宋体"/>
          <w:szCs w:val="21"/>
          <w:lang w:bidi="ar-SA"/>
        </w:rPr>
        <w:t xml:space="preserve">食品安全国家标准 </w:t>
      </w:r>
      <w:r>
        <w:rPr>
          <w:rFonts w:hint="eastAsia" w:cs="宋体"/>
          <w:szCs w:val="21"/>
          <w:lang w:bidi="ar-SA"/>
        </w:rPr>
        <w:t xml:space="preserve"> </w:t>
      </w:r>
      <w:r>
        <w:rPr>
          <w:rFonts w:cs="宋体"/>
          <w:szCs w:val="21"/>
          <w:lang w:bidi="ar-SA"/>
        </w:rPr>
        <w:t>食品微生物学检验</w:t>
      </w:r>
      <w:r>
        <w:rPr>
          <w:rFonts w:hint="eastAsia" w:cs="宋体"/>
          <w:szCs w:val="21"/>
          <w:lang w:bidi="ar-SA"/>
        </w:rPr>
        <w:t xml:space="preserve"> </w:t>
      </w:r>
      <w:r>
        <w:rPr>
          <w:rFonts w:cs="宋体"/>
          <w:szCs w:val="21"/>
          <w:lang w:bidi="ar-SA"/>
        </w:rPr>
        <w:t xml:space="preserve"> 总则</w:t>
      </w:r>
      <w:r>
        <w:rPr>
          <w:rFonts w:cs="宋体"/>
          <w:szCs w:val="21"/>
          <w:lang w:bidi="ar-SA"/>
        </w:rPr>
        <w:fldChar w:fldCharType="end"/>
      </w:r>
    </w:p>
    <w:p>
      <w:pPr>
        <w:ind w:firstLine="420" w:firstLineChars="200"/>
        <w:rPr>
          <w:rFonts w:hint="eastAsia" w:ascii="宋体"/>
        </w:rPr>
      </w:pPr>
      <w:r>
        <w:rPr>
          <w:rFonts w:hint="eastAsia" w:ascii="宋体"/>
        </w:rPr>
        <w:t>GB 4789.2  食品安全国家标准  食品微生物学检验  菌落总数测定</w:t>
      </w:r>
    </w:p>
    <w:p>
      <w:pPr>
        <w:pStyle w:val="22"/>
      </w:pPr>
      <w:r>
        <w:rPr>
          <w:rFonts w:hint="eastAsia"/>
        </w:rPr>
        <w:t xml:space="preserve">GB 4789.3  </w:t>
      </w:r>
      <w:r>
        <w:rPr>
          <w:rFonts w:hint="eastAsia" w:cs="宋体"/>
          <w:szCs w:val="21"/>
          <w:lang w:bidi="ar-SA"/>
        </w:rPr>
        <w:t>食品安全国家标准  食品</w:t>
      </w:r>
      <w:r>
        <w:rPr>
          <w:rFonts w:hint="eastAsia"/>
        </w:rPr>
        <w:t>微生物学检验</w:t>
      </w:r>
      <w:r>
        <w:t xml:space="preserve"> </w:t>
      </w:r>
      <w:r>
        <w:rPr>
          <w:rFonts w:hint="eastAsia"/>
        </w:rPr>
        <w:t xml:space="preserve"> </w:t>
      </w:r>
      <w:r>
        <w:t>大肠菌群</w:t>
      </w:r>
      <w:r>
        <w:rPr>
          <w:rFonts w:hint="eastAsia"/>
        </w:rPr>
        <w:t>计数</w:t>
      </w:r>
    </w:p>
    <w:p>
      <w:pPr>
        <w:ind w:firstLine="420" w:firstLineChars="200"/>
        <w:rPr>
          <w:rFonts w:hint="eastAsia" w:ascii="宋体" w:cs="宋体"/>
          <w:kern w:val="0"/>
          <w:szCs w:val="21"/>
          <w:lang w:bidi="ar-SA"/>
        </w:rPr>
      </w:pPr>
      <w:r>
        <w:rPr>
          <w:rFonts w:hint="eastAsia" w:ascii="宋体"/>
          <w:szCs w:val="21"/>
        </w:rPr>
        <w:t xml:space="preserve">GB 4789.4  </w:t>
      </w:r>
      <w:r>
        <w:rPr>
          <w:rFonts w:hint="eastAsia" w:ascii="宋体" w:cs="宋体"/>
          <w:kern w:val="0"/>
          <w:szCs w:val="21"/>
          <w:lang w:bidi="ar-SA"/>
        </w:rPr>
        <w:t>食品安全国家标准  食品微生物学检验  沙门氏菌检验</w:t>
      </w:r>
    </w:p>
    <w:p>
      <w:pPr>
        <w:ind w:firstLine="420" w:firstLineChars="200"/>
        <w:rPr>
          <w:rFonts w:hint="eastAsia" w:ascii="宋体"/>
        </w:rPr>
      </w:pPr>
      <w:r>
        <w:rPr>
          <w:rFonts w:hint="eastAsia" w:ascii="宋体"/>
        </w:rPr>
        <w:t>GB 4789.10  食品安全国家标准  食品微生物学检验  金黄色葡萄球菌检验</w:t>
      </w:r>
    </w:p>
    <w:p>
      <w:pPr>
        <w:ind w:firstLine="420" w:firstLineChars="200"/>
        <w:rPr>
          <w:rFonts w:hint="eastAsia" w:ascii="宋体"/>
        </w:rPr>
      </w:pPr>
      <w:r>
        <w:rPr>
          <w:rFonts w:hint="eastAsia" w:ascii="宋体"/>
        </w:rPr>
        <w:t>GB 5009.3  食品安全国家标准  食品中水分的测定</w:t>
      </w:r>
    </w:p>
    <w:p>
      <w:pPr>
        <w:ind w:firstLine="420" w:firstLineChars="200"/>
        <w:rPr>
          <w:rFonts w:hint="eastAsia" w:ascii="宋体"/>
        </w:rPr>
      </w:pPr>
      <w:r>
        <w:rPr>
          <w:rFonts w:hint="eastAsia" w:ascii="宋体"/>
        </w:rPr>
        <w:t>GB 5009.5  食品安全国家标准  食品中蛋白质的测定</w:t>
      </w:r>
    </w:p>
    <w:p>
      <w:pPr>
        <w:pStyle w:val="22"/>
      </w:pPr>
      <w:r>
        <w:rPr>
          <w:rFonts w:hint="eastAsia"/>
        </w:rPr>
        <w:t xml:space="preserve">GB 5009.11  </w:t>
      </w:r>
      <w:r>
        <w:rPr>
          <w:rFonts w:hint="eastAsia"/>
          <w:kern w:val="2"/>
          <w:szCs w:val="24"/>
        </w:rPr>
        <w:t>食品安全国家标准  食品中总砷及无机砷的测定</w:t>
      </w:r>
    </w:p>
    <w:p>
      <w:pPr>
        <w:pStyle w:val="22"/>
      </w:pPr>
      <w:r>
        <w:rPr>
          <w:rFonts w:hint="eastAsia"/>
        </w:rPr>
        <w:t xml:space="preserve">GB 5009.12  </w:t>
      </w:r>
      <w:r>
        <w:t>食品安全国家标准</w:t>
      </w:r>
      <w:r>
        <w:rPr>
          <w:rFonts w:hint="eastAsia"/>
        </w:rPr>
        <w:t xml:space="preserve">  食品中铅的测定</w:t>
      </w:r>
    </w:p>
    <w:p>
      <w:pPr>
        <w:ind w:firstLine="420" w:firstLineChars="200"/>
        <w:rPr>
          <w:rFonts w:hint="eastAsia" w:ascii="宋体"/>
        </w:rPr>
      </w:pPr>
      <w:r>
        <w:rPr>
          <w:rFonts w:hint="eastAsia" w:ascii="宋体"/>
        </w:rPr>
        <w:t>GB 5009.15  食品安全国家标准  食品中镉的测定</w:t>
      </w:r>
    </w:p>
    <w:p>
      <w:pPr>
        <w:ind w:firstLine="420" w:firstLineChars="200"/>
        <w:rPr>
          <w:rFonts w:hint="eastAsia" w:ascii="宋体"/>
        </w:rPr>
      </w:pPr>
      <w:r>
        <w:rPr>
          <w:rFonts w:hint="eastAsia" w:ascii="宋体"/>
        </w:rPr>
        <w:t>GB 5009.22  食品安全国家标准  食品中黄曲霉毒素B族和G族的测定</w:t>
      </w:r>
    </w:p>
    <w:p>
      <w:pPr>
        <w:ind w:firstLine="420" w:firstLineChars="200"/>
        <w:rPr>
          <w:rFonts w:hint="eastAsia" w:ascii="宋体"/>
        </w:rPr>
      </w:pPr>
      <w:r>
        <w:rPr>
          <w:rFonts w:hint="eastAsia" w:ascii="宋体"/>
        </w:rPr>
        <w:t>GB 5009.88  食品安全国家标准  食品中膳食纤维的测定</w:t>
      </w:r>
    </w:p>
    <w:p>
      <w:pPr>
        <w:ind w:firstLine="420" w:firstLineChars="200"/>
        <w:rPr>
          <w:rFonts w:hint="eastAsia" w:ascii="宋体"/>
        </w:rPr>
      </w:pPr>
      <w:r>
        <w:rPr>
          <w:rFonts w:hint="eastAsia" w:ascii="宋体"/>
        </w:rPr>
        <w:fldChar w:fldCharType="begin"/>
      </w:r>
      <w:r>
        <w:rPr>
          <w:rFonts w:hint="eastAsia" w:ascii="宋体"/>
        </w:rPr>
        <w:instrText xml:space="preserve">HYPERLINK "http://down.foodmate.net/standard/sort/3/49404.html" \o "GB 5009.239-2016 食品安全国家标准 食品酸度的测定（2017-3-1实施）\" \\t \"_blank"</w:instrText>
      </w:r>
      <w:r>
        <w:rPr>
          <w:rFonts w:hint="eastAsia" w:ascii="宋体"/>
        </w:rPr>
        <w:fldChar w:fldCharType="separate"/>
      </w:r>
      <w:r>
        <w:rPr>
          <w:rFonts w:hint="eastAsia" w:ascii="宋体"/>
        </w:rPr>
        <w:t>GB 5009.239  食品安全国家标准  食品酸度的测定</w:t>
      </w:r>
      <w:r>
        <w:rPr>
          <w:rFonts w:hint="eastAsia" w:ascii="宋体"/>
        </w:rPr>
        <w:fldChar w:fldCharType="end"/>
      </w:r>
    </w:p>
    <w:p>
      <w:pPr>
        <w:ind w:firstLine="420" w:firstLineChars="200"/>
        <w:rPr>
          <w:rFonts w:hint="eastAsia" w:ascii="宋体"/>
        </w:rPr>
      </w:pPr>
      <w:r>
        <w:rPr>
          <w:rFonts w:hint="eastAsia" w:ascii="宋体"/>
        </w:rPr>
        <w:t>GB 5749  生活饮用水卫生标准</w:t>
      </w:r>
    </w:p>
    <w:p>
      <w:pPr>
        <w:ind w:firstLine="420" w:firstLineChars="200"/>
        <w:rPr>
          <w:rFonts w:hint="eastAsia" w:ascii="宋体" w:cs="宋体"/>
          <w:kern w:val="0"/>
          <w:szCs w:val="21"/>
          <w:lang w:bidi="ar-SA"/>
        </w:rPr>
      </w:pPr>
      <w:r>
        <w:rPr>
          <w:rFonts w:hint="eastAsia" w:ascii="宋体"/>
          <w:szCs w:val="21"/>
        </w:rPr>
        <w:t xml:space="preserve">GB 7718  </w:t>
      </w:r>
      <w:r>
        <w:rPr>
          <w:rFonts w:hint="eastAsia" w:ascii="宋体"/>
        </w:rPr>
        <w:t xml:space="preserve">食品安全国家标准  </w:t>
      </w:r>
      <w:r>
        <w:rPr>
          <w:rFonts w:hint="eastAsia" w:ascii="宋体" w:cs="宋体"/>
          <w:kern w:val="0"/>
          <w:szCs w:val="21"/>
          <w:lang w:bidi="ar-SA"/>
        </w:rPr>
        <w:t>预包装食品标签通则</w:t>
      </w:r>
    </w:p>
    <w:p>
      <w:pPr>
        <w:ind w:firstLine="420" w:firstLineChars="200"/>
        <w:rPr>
          <w:rFonts w:hint="eastAsia" w:ascii="宋体"/>
        </w:rPr>
      </w:pPr>
      <w:r>
        <w:rPr>
          <w:rFonts w:hint="eastAsia" w:ascii="宋体"/>
        </w:rPr>
        <w:t>GB 14881  食品安全国家标准  食品生产通用卫生规范</w:t>
      </w:r>
    </w:p>
    <w:p>
      <w:pPr>
        <w:pStyle w:val="22"/>
        <w:rPr>
          <w:rFonts w:hint="eastAsia" w:cs="AdobeHeitiStd-Regular"/>
          <w:lang w:bidi="ar-SA"/>
        </w:rPr>
      </w:pPr>
      <w:r>
        <w:rPr>
          <w:rFonts w:hint="eastAsia" w:cs="AdobeHeitiStd-Regular"/>
          <w:lang w:bidi="ar-SA"/>
        </w:rPr>
        <w:t>GB/T 18810  糙米</w:t>
      </w:r>
    </w:p>
    <w:p>
      <w:pPr>
        <w:pStyle w:val="22"/>
        <w:rPr>
          <w:rFonts w:hint="eastAsia"/>
        </w:rPr>
      </w:pPr>
      <w:r>
        <w:rPr>
          <w:rFonts w:hint="eastAsia"/>
        </w:rPr>
        <w:t xml:space="preserve">GB 28050  </w:t>
      </w:r>
      <w:r>
        <w:rPr>
          <w:rFonts w:hint="eastAsia" w:cs="宋体"/>
          <w:szCs w:val="21"/>
          <w:lang w:bidi="ar-SA"/>
        </w:rPr>
        <w:t xml:space="preserve">食品安全国家标准  </w:t>
      </w:r>
      <w:r>
        <w:rPr>
          <w:rFonts w:hint="eastAsia"/>
        </w:rPr>
        <w:t>预包装食品营养标签通则</w:t>
      </w:r>
    </w:p>
    <w:p>
      <w:pPr>
        <w:pStyle w:val="60"/>
        <w:rPr>
          <w:rFonts w:hint="eastAsia"/>
        </w:rPr>
      </w:pPr>
      <w:r>
        <w:rPr>
          <w:rFonts w:hint="eastAsia"/>
        </w:rPr>
        <w:t>术语和定义</w:t>
      </w:r>
    </w:p>
    <w:p>
      <w:pPr>
        <w:pStyle w:val="22"/>
      </w:pPr>
      <w:r>
        <w:rPr>
          <w:rFonts w:hint="eastAsia"/>
        </w:rPr>
        <w:t>下列术语和定义适用于本文件。</w:t>
      </w:r>
    </w:p>
    <w:p>
      <w:pPr>
        <w:pStyle w:val="48"/>
        <w:rPr>
          <w:rFonts w:hint="eastAsia"/>
        </w:rPr>
      </w:pPr>
    </w:p>
    <w:p>
      <w:pPr>
        <w:pStyle w:val="22"/>
        <w:rPr>
          <w:rFonts w:hint="eastAsia" w:ascii="黑体" w:eastAsia="黑体"/>
        </w:rPr>
      </w:pPr>
      <w:r>
        <w:rPr>
          <w:rFonts w:hint="eastAsia" w:ascii="黑体" w:eastAsia="黑体"/>
        </w:rPr>
        <w:t>鲜湿米粉</w:t>
      </w:r>
    </w:p>
    <w:p>
      <w:pPr>
        <w:pStyle w:val="22"/>
        <w:rPr>
          <w:rFonts w:hint="eastAsia"/>
          <w:color w:val="000000"/>
        </w:rPr>
      </w:pPr>
      <w:r>
        <w:rPr>
          <w:rFonts w:hint="eastAsia"/>
          <w:color w:val="000000"/>
          <w:lang w:val="en-US" w:eastAsia="zh-TW"/>
        </w:rPr>
        <w:t>以</w:t>
      </w:r>
      <w:r>
        <w:rPr>
          <w:rFonts w:hint="eastAsia"/>
          <w:color w:val="000000"/>
        </w:rPr>
        <w:t>大米（或糙米）为主要原料（</w:t>
      </w:r>
      <w:r>
        <w:rPr>
          <w:rFonts w:hint="eastAsia"/>
          <w:color w:val="000000"/>
          <w:sz w:val="18"/>
          <w:szCs w:val="18"/>
        </w:rPr>
        <w:t>≥90%</w:t>
      </w:r>
      <w:r>
        <w:rPr>
          <w:rFonts w:hint="eastAsia"/>
          <w:color w:val="000000"/>
        </w:rPr>
        <w:t>），经清洗、浸泡、磨浆（或粉碎）、调浆、发酵(或不发酵)、熟化、成型、冷却、包装等生产工艺加工制成的切粉（河粉、卷粉）或榨粉（圆粉）等预包装鲜湿米粉。</w:t>
      </w:r>
    </w:p>
    <w:p>
      <w:pPr>
        <w:pStyle w:val="48"/>
        <w:rPr>
          <w:rFonts w:hint="eastAsia"/>
        </w:rPr>
      </w:pPr>
    </w:p>
    <w:p>
      <w:pPr>
        <w:pStyle w:val="22"/>
        <w:rPr>
          <w:rFonts w:hint="eastAsia" w:ascii="黑体" w:eastAsia="黑体"/>
        </w:rPr>
      </w:pPr>
      <w:r>
        <w:rPr>
          <w:rFonts w:hint="eastAsia" w:ascii="黑体" w:eastAsia="黑体"/>
        </w:rPr>
        <w:t>切粉（河粉、卷粉）</w:t>
      </w:r>
    </w:p>
    <w:p>
      <w:pPr>
        <w:pStyle w:val="22"/>
        <w:ind w:firstLine="420" w:firstLineChars="0"/>
        <w:rPr>
          <w:rFonts w:cs="宋体"/>
          <w:lang w:bidi="ar-SA"/>
        </w:rPr>
      </w:pPr>
      <w:r>
        <w:rPr>
          <w:rFonts w:hint="eastAsia"/>
        </w:rPr>
        <w:t>以大米（或糙米）为主要原料（</w:t>
      </w:r>
      <w:r>
        <w:rPr>
          <w:rFonts w:hint="eastAsia"/>
          <w:sz w:val="18"/>
          <w:szCs w:val="18"/>
        </w:rPr>
        <w:t>≥90%</w:t>
      </w:r>
      <w:r>
        <w:rPr>
          <w:rFonts w:hint="eastAsia"/>
        </w:rPr>
        <w:t>），经清洗、浸泡、磨浆(或粉碎)，调浆、熟化、切条（或不切条）、卷粉（或不卷粉）、冷却、包装等工艺加工制成的预包装产品</w:t>
      </w:r>
      <w:r>
        <w:rPr>
          <w:rFonts w:hint="eastAsia"/>
          <w:lang w:val="en-US" w:eastAsia="zh-TW"/>
        </w:rPr>
        <w:t>。</w:t>
      </w:r>
    </w:p>
    <w:p>
      <w:pPr>
        <w:pStyle w:val="48"/>
        <w:rPr>
          <w:rFonts w:hint="eastAsia"/>
        </w:rPr>
      </w:pPr>
    </w:p>
    <w:p>
      <w:pPr>
        <w:pStyle w:val="22"/>
        <w:rPr>
          <w:rFonts w:hint="eastAsia" w:ascii="黑体" w:eastAsia="黑体"/>
        </w:rPr>
      </w:pPr>
      <w:r>
        <w:rPr>
          <w:rFonts w:hint="eastAsia" w:ascii="黑体" w:eastAsia="黑体"/>
        </w:rPr>
        <w:t>榨粉（圆粉）</w:t>
      </w:r>
    </w:p>
    <w:p>
      <w:pPr>
        <w:pStyle w:val="22"/>
        <w:rPr>
          <w:rFonts w:hint="eastAsia"/>
        </w:rPr>
      </w:pPr>
      <w:r>
        <w:rPr>
          <w:rFonts w:hint="eastAsia"/>
        </w:rPr>
        <w:t>以大米（或糙米）为主要原料（</w:t>
      </w:r>
      <w:r>
        <w:rPr>
          <w:rFonts w:hint="eastAsia"/>
          <w:sz w:val="18"/>
          <w:szCs w:val="18"/>
        </w:rPr>
        <w:t>≥90%</w:t>
      </w:r>
      <w:r>
        <w:rPr>
          <w:rFonts w:hint="eastAsia"/>
        </w:rPr>
        <w:t>），经清洗、浸泡、磨浆(</w:t>
      </w:r>
      <w:r>
        <w:rPr>
          <w:rFonts w:hint="eastAsia"/>
          <w:lang w:val="en-US" w:eastAsia="zh-CN"/>
        </w:rPr>
        <w:t>或</w:t>
      </w:r>
      <w:r>
        <w:rPr>
          <w:rFonts w:hint="eastAsia"/>
        </w:rPr>
        <w:t>粉碎)，调浆、发酵（或不发酵）、熟化、挤压成型、冷却、包装等工艺加工而成的预包装产品</w:t>
      </w:r>
      <w:r>
        <w:rPr>
          <w:rFonts w:hint="eastAsia"/>
          <w:lang w:val="en-US" w:eastAsia="zh-CN"/>
        </w:rPr>
        <w:t>，含酸浆榨粉。</w:t>
      </w:r>
    </w:p>
    <w:p>
      <w:pPr>
        <w:pStyle w:val="60"/>
        <w:rPr>
          <w:rFonts w:hint="eastAsia" w:ascii="宋体" w:eastAsia="宋体"/>
        </w:rPr>
      </w:pPr>
      <w:r>
        <w:rPr>
          <w:rFonts w:hint="eastAsia" w:ascii="宋体" w:eastAsia="宋体"/>
        </w:rPr>
        <w:t>要求</w:t>
      </w:r>
    </w:p>
    <w:p>
      <w:pPr>
        <w:pStyle w:val="48"/>
        <w:rPr>
          <w:rFonts w:hint="eastAsia" w:ascii="宋体" w:eastAsia="宋体"/>
        </w:rPr>
      </w:pPr>
      <w:r>
        <w:rPr>
          <w:rFonts w:hint="eastAsia" w:ascii="宋体" w:eastAsia="宋体"/>
        </w:rPr>
        <w:t>原辅料要求</w:t>
      </w:r>
    </w:p>
    <w:p>
      <w:pPr>
        <w:pStyle w:val="49"/>
        <w:spacing w:before="156" w:after="156"/>
        <w:rPr>
          <w:rFonts w:hint="eastAsia"/>
        </w:rPr>
      </w:pPr>
      <w:r>
        <w:rPr>
          <w:rFonts w:hint="eastAsia"/>
        </w:rPr>
        <w:t>大米</w:t>
      </w:r>
    </w:p>
    <w:p>
      <w:pPr>
        <w:pStyle w:val="22"/>
        <w:rPr>
          <w:rFonts w:hint="eastAsia"/>
        </w:rPr>
      </w:pPr>
      <w:r>
        <w:rPr>
          <w:rFonts w:hint="eastAsia"/>
        </w:rPr>
        <w:t>应符合GB</w:t>
      </w:r>
      <w:r>
        <w:rPr>
          <w:rFonts w:hint="eastAsia" w:cs="AdobeHeitiStd-Regular"/>
          <w:lang w:bidi="ar-SA"/>
        </w:rPr>
        <w:t>/T</w:t>
      </w:r>
      <w:r>
        <w:rPr>
          <w:rFonts w:hint="eastAsia"/>
        </w:rPr>
        <w:t xml:space="preserve"> 1354的要求</w:t>
      </w:r>
      <w:r>
        <w:rPr>
          <w:rFonts w:hint="eastAsia"/>
          <w:lang w:val="en-US" w:eastAsia="zh-CN"/>
        </w:rPr>
        <w:t>，</w:t>
      </w:r>
      <w:r>
        <w:rPr>
          <w:rFonts w:hint="eastAsia"/>
        </w:rPr>
        <w:t>其中碎米率指标不作要求。</w:t>
      </w:r>
    </w:p>
    <w:p>
      <w:pPr>
        <w:pStyle w:val="49"/>
        <w:spacing w:before="156" w:after="156"/>
        <w:rPr>
          <w:rFonts w:hint="eastAsia"/>
        </w:rPr>
      </w:pPr>
      <w:r>
        <w:rPr>
          <w:rFonts w:hint="eastAsia"/>
        </w:rPr>
        <w:t>糙米</w:t>
      </w:r>
    </w:p>
    <w:p>
      <w:pPr>
        <w:pStyle w:val="22"/>
        <w:rPr>
          <w:rFonts w:hint="eastAsia"/>
        </w:rPr>
      </w:pPr>
      <w:r>
        <w:rPr>
          <w:rFonts w:hint="eastAsia"/>
        </w:rPr>
        <w:t>应符合</w:t>
      </w:r>
      <w:r>
        <w:rPr>
          <w:rFonts w:hint="eastAsia" w:cs="AdobeHeitiStd-Regular"/>
          <w:lang w:bidi="ar-SA"/>
        </w:rPr>
        <w:t>GB/T 18810</w:t>
      </w:r>
      <w:r>
        <w:rPr>
          <w:rFonts w:hint="eastAsia" w:cs="AdobeHeitiStd-Regular"/>
          <w:vertAlign w:val="superscript"/>
          <w:lang w:bidi="ar-SA"/>
        </w:rPr>
        <w:t xml:space="preserve"> </w:t>
      </w:r>
      <w:r>
        <w:rPr>
          <w:rFonts w:hint="eastAsia"/>
        </w:rPr>
        <w:t>的要求，其中整精米率</w:t>
      </w:r>
      <w:r>
        <w:rPr>
          <w:rFonts w:hint="eastAsia"/>
          <w:szCs w:val="21"/>
        </w:rPr>
        <w:t>指标不作要求</w:t>
      </w:r>
      <w:r>
        <w:rPr>
          <w:rFonts w:hint="eastAsia"/>
        </w:rPr>
        <w:t>。</w:t>
      </w:r>
    </w:p>
    <w:p>
      <w:pPr>
        <w:pStyle w:val="49"/>
        <w:spacing w:before="156" w:after="156"/>
        <w:rPr>
          <w:rFonts w:hint="eastAsia"/>
        </w:rPr>
      </w:pPr>
      <w:r>
        <w:rPr>
          <w:rFonts w:hint="eastAsia"/>
        </w:rPr>
        <w:t>加工用水</w:t>
      </w:r>
    </w:p>
    <w:p>
      <w:pPr>
        <w:pStyle w:val="22"/>
        <w:rPr>
          <w:rFonts w:hint="eastAsia"/>
        </w:rPr>
      </w:pPr>
      <w:r>
        <w:rPr>
          <w:rFonts w:hint="eastAsia"/>
        </w:rPr>
        <w:t>应符合GB 5749 的要求。</w:t>
      </w:r>
    </w:p>
    <w:p>
      <w:pPr>
        <w:pStyle w:val="49"/>
        <w:spacing w:before="156" w:after="156"/>
        <w:rPr>
          <w:rFonts w:hint="eastAsia"/>
        </w:rPr>
      </w:pPr>
      <w:r>
        <w:rPr>
          <w:rFonts w:hint="eastAsia"/>
        </w:rPr>
        <w:t>食用植物油</w:t>
      </w:r>
    </w:p>
    <w:p>
      <w:pPr>
        <w:pStyle w:val="22"/>
        <w:rPr>
          <w:rFonts w:hint="eastAsia"/>
        </w:rPr>
      </w:pPr>
      <w:r>
        <w:rPr>
          <w:rFonts w:hint="eastAsia"/>
        </w:rPr>
        <w:t>应符合GB 2716 及相关标准的要求。</w:t>
      </w:r>
    </w:p>
    <w:p>
      <w:pPr>
        <w:pStyle w:val="48"/>
        <w:rPr>
          <w:rFonts w:hint="eastAsia"/>
        </w:rPr>
      </w:pPr>
      <w:r>
        <w:rPr>
          <w:rFonts w:hint="eastAsia"/>
        </w:rPr>
        <w:t>感官要求</w:t>
      </w:r>
    </w:p>
    <w:p>
      <w:pPr>
        <w:pStyle w:val="22"/>
        <w:rPr>
          <w:rFonts w:hint="eastAsia"/>
        </w:rPr>
      </w:pPr>
      <w:r>
        <w:rPr>
          <w:rFonts w:hint="eastAsia"/>
        </w:rPr>
        <w:t>应符合表1的规定。</w:t>
      </w:r>
    </w:p>
    <w:p>
      <w:pPr>
        <w:pStyle w:val="22"/>
        <w:rPr>
          <w:rFonts w:hint="eastAsia"/>
        </w:rPr>
      </w:pPr>
    </w:p>
    <w:p>
      <w:pPr>
        <w:pStyle w:val="22"/>
        <w:rPr>
          <w:rFonts w:hint="eastAsia"/>
        </w:rPr>
      </w:pPr>
    </w:p>
    <w:p>
      <w:pPr>
        <w:pStyle w:val="22"/>
        <w:rPr>
          <w:rFonts w:hint="eastAsia"/>
        </w:rPr>
      </w:pPr>
    </w:p>
    <w:p>
      <w:pPr>
        <w:pStyle w:val="132"/>
        <w:ind w:left="3885"/>
        <w:jc w:val="both"/>
        <w:rPr>
          <w:rFonts w:hint="eastAsia" w:ascii="宋体" w:eastAsia="宋体"/>
          <w:b/>
          <w:sz w:val="18"/>
          <w:szCs w:val="18"/>
        </w:rPr>
      </w:pPr>
      <w:r>
        <w:rPr>
          <w:rFonts w:hint="eastAsia" w:ascii="宋体" w:eastAsia="宋体"/>
          <w:b/>
          <w:sz w:val="18"/>
          <w:szCs w:val="18"/>
        </w:rPr>
        <w:t>感官要求</w:t>
      </w:r>
    </w:p>
    <w:tbl>
      <w:tblPr>
        <w:tblStyle w:val="3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71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92" w:type="dxa"/>
            <w:tcBorders>
              <w:top w:val="single" w:color="auto" w:sz="8" w:space="0"/>
              <w:left w:val="single" w:color="auto" w:sz="8" w:space="0"/>
              <w:bottom w:val="single" w:color="auto" w:sz="4" w:space="0"/>
              <w:right w:val="single" w:color="auto" w:sz="4" w:space="0"/>
            </w:tcBorders>
            <w:noWrap w:val="0"/>
            <w:vAlign w:val="center"/>
          </w:tcPr>
          <w:p>
            <w:pPr>
              <w:pStyle w:val="22"/>
              <w:ind w:firstLine="0" w:firstLineChars="0"/>
              <w:jc w:val="center"/>
              <w:rPr>
                <w:rFonts w:hint="eastAsia"/>
                <w:sz w:val="18"/>
                <w:szCs w:val="18"/>
              </w:rPr>
            </w:pPr>
            <w:r>
              <w:rPr>
                <w:rFonts w:hint="eastAsia"/>
                <w:sz w:val="18"/>
                <w:szCs w:val="18"/>
              </w:rPr>
              <w:t>项    目</w:t>
            </w:r>
          </w:p>
        </w:tc>
        <w:tc>
          <w:tcPr>
            <w:tcW w:w="7178" w:type="dxa"/>
            <w:tcBorders>
              <w:top w:val="single" w:color="auto" w:sz="8" w:space="0"/>
              <w:left w:val="single" w:color="auto" w:sz="4" w:space="0"/>
              <w:bottom w:val="single" w:color="auto" w:sz="4" w:space="0"/>
              <w:right w:val="single" w:color="auto" w:sz="8" w:space="0"/>
            </w:tcBorders>
            <w:noWrap w:val="0"/>
            <w:vAlign w:val="center"/>
          </w:tcPr>
          <w:p>
            <w:pPr>
              <w:pStyle w:val="22"/>
              <w:jc w:val="center"/>
              <w:rPr>
                <w:rFonts w:hint="eastAsia"/>
                <w:sz w:val="18"/>
                <w:szCs w:val="18"/>
              </w:rPr>
            </w:pPr>
            <w:r>
              <w:rPr>
                <w:rFonts w:hint="eastAsia"/>
                <w:sz w:val="18"/>
                <w:szCs w:val="18"/>
              </w:rPr>
              <w:t>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92" w:type="dxa"/>
            <w:tcBorders>
              <w:top w:val="single" w:color="auto" w:sz="8" w:space="0"/>
              <w:left w:val="single" w:color="auto" w:sz="8" w:space="0"/>
              <w:bottom w:val="single" w:color="auto" w:sz="4" w:space="0"/>
              <w:right w:val="single" w:color="auto" w:sz="4" w:space="0"/>
            </w:tcBorders>
            <w:noWrap w:val="0"/>
            <w:vAlign w:val="center"/>
          </w:tcPr>
          <w:p>
            <w:pPr>
              <w:pStyle w:val="22"/>
              <w:ind w:firstLine="0" w:firstLineChars="0"/>
              <w:jc w:val="center"/>
              <w:rPr>
                <w:rFonts w:hint="eastAsia"/>
                <w:sz w:val="18"/>
                <w:szCs w:val="18"/>
              </w:rPr>
            </w:pPr>
            <w:r>
              <w:rPr>
                <w:rFonts w:hint="eastAsia"/>
                <w:sz w:val="18"/>
                <w:szCs w:val="18"/>
              </w:rPr>
              <w:t>色    泽</w:t>
            </w:r>
          </w:p>
        </w:tc>
        <w:tc>
          <w:tcPr>
            <w:tcW w:w="7178" w:type="dxa"/>
            <w:tcBorders>
              <w:top w:val="single" w:color="auto" w:sz="8" w:space="0"/>
              <w:left w:val="single" w:color="auto" w:sz="4" w:space="0"/>
              <w:bottom w:val="single" w:color="auto" w:sz="4" w:space="0"/>
              <w:right w:val="single" w:color="auto" w:sz="8" w:space="0"/>
            </w:tcBorders>
            <w:noWrap w:val="0"/>
            <w:vAlign w:val="center"/>
          </w:tcPr>
          <w:p>
            <w:pPr>
              <w:pStyle w:val="22"/>
              <w:jc w:val="center"/>
              <w:rPr>
                <w:rFonts w:hint="eastAsia"/>
                <w:sz w:val="18"/>
                <w:szCs w:val="18"/>
              </w:rPr>
            </w:pPr>
            <w:r>
              <w:rPr>
                <w:rFonts w:hint="eastAsia"/>
                <w:sz w:val="18"/>
                <w:szCs w:val="18"/>
              </w:rPr>
              <w:t>呈现主要原料固有的色泽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92" w:type="dxa"/>
            <w:tcBorders>
              <w:top w:val="single" w:color="auto" w:sz="8" w:space="0"/>
              <w:left w:val="single" w:color="auto" w:sz="8" w:space="0"/>
              <w:bottom w:val="single" w:color="auto" w:sz="4" w:space="0"/>
              <w:right w:val="single" w:color="auto" w:sz="4" w:space="0"/>
            </w:tcBorders>
            <w:noWrap w:val="0"/>
            <w:vAlign w:val="center"/>
          </w:tcPr>
          <w:p>
            <w:pPr>
              <w:pStyle w:val="22"/>
              <w:ind w:firstLine="0" w:firstLineChars="0"/>
              <w:jc w:val="center"/>
              <w:rPr>
                <w:rFonts w:hint="eastAsia"/>
                <w:sz w:val="18"/>
                <w:szCs w:val="18"/>
              </w:rPr>
            </w:pPr>
            <w:r>
              <w:rPr>
                <w:rFonts w:hint="eastAsia"/>
                <w:sz w:val="18"/>
                <w:szCs w:val="18"/>
              </w:rPr>
              <w:t>气味、滋味</w:t>
            </w:r>
          </w:p>
        </w:tc>
        <w:tc>
          <w:tcPr>
            <w:tcW w:w="7178" w:type="dxa"/>
            <w:tcBorders>
              <w:top w:val="single" w:color="auto" w:sz="8" w:space="0"/>
              <w:left w:val="single" w:color="auto" w:sz="4" w:space="0"/>
              <w:bottom w:val="single" w:color="auto" w:sz="4" w:space="0"/>
              <w:right w:val="single" w:color="auto" w:sz="8" w:space="0"/>
            </w:tcBorders>
            <w:noWrap w:val="0"/>
            <w:vAlign w:val="center"/>
          </w:tcPr>
          <w:p>
            <w:pPr>
              <w:pStyle w:val="22"/>
              <w:jc w:val="center"/>
              <w:rPr>
                <w:rFonts w:hint="eastAsia"/>
                <w:sz w:val="18"/>
                <w:szCs w:val="18"/>
              </w:rPr>
            </w:pPr>
            <w:r>
              <w:rPr>
                <w:rFonts w:hint="eastAsia"/>
                <w:sz w:val="18"/>
                <w:szCs w:val="18"/>
              </w:rPr>
              <w:t>具有本产品固有的气味、滋味，无异味；口感滑爽、柔韧，不夹生，不粘牙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92" w:type="dxa"/>
            <w:tcBorders>
              <w:top w:val="single" w:color="auto" w:sz="8" w:space="0"/>
              <w:left w:val="single" w:color="auto" w:sz="8" w:space="0"/>
              <w:bottom w:val="single" w:color="auto" w:sz="4" w:space="0"/>
              <w:right w:val="single" w:color="auto" w:sz="4" w:space="0"/>
            </w:tcBorders>
            <w:noWrap w:val="0"/>
            <w:vAlign w:val="center"/>
          </w:tcPr>
          <w:p>
            <w:pPr>
              <w:pStyle w:val="22"/>
              <w:ind w:firstLine="0" w:firstLineChars="0"/>
              <w:jc w:val="center"/>
              <w:rPr>
                <w:rFonts w:hint="eastAsia"/>
                <w:sz w:val="18"/>
                <w:szCs w:val="18"/>
              </w:rPr>
            </w:pPr>
            <w:r>
              <w:rPr>
                <w:rFonts w:hint="eastAsia"/>
                <w:sz w:val="18"/>
                <w:szCs w:val="18"/>
              </w:rPr>
              <w:t>组织形态</w:t>
            </w:r>
          </w:p>
        </w:tc>
        <w:tc>
          <w:tcPr>
            <w:tcW w:w="7178" w:type="dxa"/>
            <w:tcBorders>
              <w:top w:val="single" w:color="auto" w:sz="8" w:space="0"/>
              <w:left w:val="single" w:color="auto" w:sz="4" w:space="0"/>
              <w:bottom w:val="single" w:color="auto" w:sz="4" w:space="0"/>
              <w:right w:val="single" w:color="auto" w:sz="8" w:space="0"/>
            </w:tcBorders>
            <w:noWrap w:val="0"/>
            <w:vAlign w:val="center"/>
          </w:tcPr>
          <w:p>
            <w:pPr>
              <w:pStyle w:val="22"/>
              <w:jc w:val="center"/>
              <w:rPr>
                <w:rFonts w:hint="eastAsia"/>
                <w:sz w:val="18"/>
                <w:szCs w:val="18"/>
              </w:rPr>
            </w:pPr>
            <w:r>
              <w:rPr>
                <w:rFonts w:hint="eastAsia"/>
                <w:sz w:val="18"/>
                <w:szCs w:val="18"/>
              </w:rPr>
              <w:t>基本均匀一致，表面平滑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92" w:type="dxa"/>
            <w:tcBorders>
              <w:top w:val="single" w:color="auto" w:sz="8" w:space="0"/>
              <w:left w:val="single" w:color="auto" w:sz="8" w:space="0"/>
              <w:bottom w:val="single" w:color="auto" w:sz="4" w:space="0"/>
              <w:right w:val="single" w:color="auto" w:sz="4" w:space="0"/>
            </w:tcBorders>
            <w:noWrap w:val="0"/>
            <w:vAlign w:val="center"/>
          </w:tcPr>
          <w:p>
            <w:pPr>
              <w:pStyle w:val="22"/>
              <w:ind w:firstLine="0" w:firstLineChars="0"/>
              <w:jc w:val="center"/>
              <w:rPr>
                <w:rFonts w:hint="eastAsia"/>
                <w:sz w:val="18"/>
                <w:szCs w:val="18"/>
              </w:rPr>
            </w:pPr>
            <w:r>
              <w:rPr>
                <w:rFonts w:hint="eastAsia"/>
                <w:sz w:val="18"/>
                <w:szCs w:val="18"/>
              </w:rPr>
              <w:t>杂    质</w:t>
            </w:r>
          </w:p>
        </w:tc>
        <w:tc>
          <w:tcPr>
            <w:tcW w:w="7178" w:type="dxa"/>
            <w:tcBorders>
              <w:top w:val="single" w:color="auto" w:sz="8" w:space="0"/>
              <w:left w:val="single" w:color="auto" w:sz="4" w:space="0"/>
              <w:bottom w:val="single" w:color="auto" w:sz="4" w:space="0"/>
              <w:right w:val="single" w:color="auto" w:sz="8" w:space="0"/>
            </w:tcBorders>
            <w:noWrap w:val="0"/>
            <w:vAlign w:val="center"/>
          </w:tcPr>
          <w:p>
            <w:pPr>
              <w:pStyle w:val="22"/>
              <w:jc w:val="center"/>
              <w:rPr>
                <w:rFonts w:hint="eastAsia"/>
                <w:sz w:val="18"/>
                <w:szCs w:val="18"/>
              </w:rPr>
            </w:pPr>
            <w:r>
              <w:rPr>
                <w:rFonts w:hint="eastAsia"/>
                <w:sz w:val="18"/>
                <w:szCs w:val="18"/>
              </w:rPr>
              <w:t>无杂质</w:t>
            </w:r>
          </w:p>
        </w:tc>
      </w:tr>
    </w:tbl>
    <w:p>
      <w:pPr>
        <w:pStyle w:val="48"/>
      </w:pPr>
      <w:r>
        <w:rPr>
          <w:rFonts w:hint="eastAsia"/>
        </w:rPr>
        <w:t>理化指标</w:t>
      </w:r>
    </w:p>
    <w:p>
      <w:pPr>
        <w:pStyle w:val="22"/>
        <w:ind w:firstLine="0" w:firstLineChars="0"/>
        <w:rPr>
          <w:rFonts w:hint="eastAsia"/>
        </w:rPr>
      </w:pPr>
      <w:r>
        <w:rPr>
          <w:rFonts w:hint="eastAsia"/>
        </w:rPr>
        <w:t xml:space="preserve">     应符合表2规定。</w:t>
      </w:r>
    </w:p>
    <w:p>
      <w:pPr>
        <w:pStyle w:val="132"/>
        <w:numPr>
          <w:ilvl w:val="0"/>
          <w:numId w:val="0"/>
        </w:numPr>
        <w:tabs>
          <w:tab w:val="clear" w:pos="0"/>
        </w:tabs>
        <w:ind w:left="3885" w:firstLine="0"/>
        <w:jc w:val="both"/>
        <w:rPr>
          <w:rFonts w:hint="eastAsia" w:ascii="宋体" w:eastAsia="宋体"/>
          <w:b/>
          <w:sz w:val="18"/>
          <w:szCs w:val="18"/>
        </w:rPr>
      </w:pPr>
      <w:r>
        <w:rPr>
          <w:rFonts w:hint="eastAsia" w:ascii="宋体" w:eastAsia="宋体"/>
          <w:b/>
          <w:sz w:val="18"/>
          <w:szCs w:val="18"/>
        </w:rPr>
        <w:t>表2  理化指标</w:t>
      </w:r>
    </w:p>
    <w:tbl>
      <w:tblPr>
        <w:tblStyle w:val="3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54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077" w:type="dxa"/>
            <w:tcBorders>
              <w:top w:val="single" w:color="auto" w:sz="8" w:space="0"/>
            </w:tcBorders>
            <w:noWrap w:val="0"/>
            <w:vAlign w:val="center"/>
          </w:tcPr>
          <w:p>
            <w:pPr>
              <w:adjustRightInd w:val="0"/>
              <w:snapToGrid w:val="0"/>
              <w:spacing w:line="300" w:lineRule="exact"/>
              <w:jc w:val="center"/>
              <w:rPr>
                <w:rFonts w:hint="eastAsia" w:ascii="宋体"/>
                <w:sz w:val="18"/>
                <w:szCs w:val="18"/>
              </w:rPr>
            </w:pPr>
            <w:r>
              <w:rPr>
                <w:rFonts w:hint="eastAsia" w:ascii="宋体"/>
                <w:sz w:val="18"/>
                <w:szCs w:val="18"/>
              </w:rPr>
              <w:t>项    目</w:t>
            </w:r>
          </w:p>
        </w:tc>
        <w:tc>
          <w:tcPr>
            <w:tcW w:w="5493" w:type="dxa"/>
            <w:tcBorders>
              <w:top w:val="single" w:color="auto" w:sz="8" w:space="0"/>
            </w:tcBorders>
            <w:noWrap w:val="0"/>
            <w:vAlign w:val="center"/>
          </w:tcPr>
          <w:p>
            <w:pPr>
              <w:jc w:val="center"/>
              <w:rPr>
                <w:rFonts w:hint="eastAsia" w:ascii="宋体"/>
                <w:sz w:val="18"/>
                <w:szCs w:val="18"/>
              </w:rPr>
            </w:pPr>
            <w:r>
              <w:rPr>
                <w:rFonts w:hint="eastAsia" w:ascii="宋体"/>
                <w:sz w:val="18"/>
                <w:szCs w:val="18"/>
              </w:rPr>
              <w:t>指    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77" w:type="dxa"/>
            <w:tcBorders>
              <w:top w:val="single" w:color="auto" w:sz="8" w:space="0"/>
              <w:bottom w:val="single" w:color="auto" w:sz="4" w:space="0"/>
            </w:tcBorders>
            <w:noWrap w:val="0"/>
            <w:vAlign w:val="center"/>
          </w:tcPr>
          <w:p>
            <w:pPr>
              <w:ind w:left="540" w:hanging="540" w:hangingChars="300"/>
              <w:jc w:val="left"/>
              <w:rPr>
                <w:rFonts w:hint="eastAsia" w:ascii="宋体"/>
                <w:sz w:val="18"/>
              </w:rPr>
            </w:pPr>
            <w:r>
              <w:rPr>
                <w:rFonts w:hint="eastAsia" w:ascii="宋体"/>
                <w:sz w:val="18"/>
              </w:rPr>
              <w:t>水分/（g/100g）                         ≤</w:t>
            </w:r>
          </w:p>
        </w:tc>
        <w:tc>
          <w:tcPr>
            <w:tcW w:w="5493" w:type="dxa"/>
            <w:tcBorders>
              <w:top w:val="single" w:color="auto" w:sz="8" w:space="0"/>
            </w:tcBorders>
            <w:noWrap w:val="0"/>
            <w:vAlign w:val="center"/>
          </w:tcPr>
          <w:p>
            <w:pPr>
              <w:jc w:val="center"/>
              <w:rPr>
                <w:rFonts w:hint="eastAsia" w:ascii="宋体"/>
                <w:sz w:val="18"/>
              </w:rPr>
            </w:pPr>
            <w:r>
              <w:rPr>
                <w:rFonts w:hint="eastAsia" w:ascii="宋体"/>
                <w:sz w:val="18"/>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4077" w:type="dxa"/>
            <w:tcBorders>
              <w:top w:val="single" w:color="auto" w:sz="4" w:space="0"/>
            </w:tcBorders>
            <w:noWrap w:val="0"/>
            <w:vAlign w:val="center"/>
          </w:tcPr>
          <w:p>
            <w:pPr>
              <w:pStyle w:val="120"/>
              <w:numPr>
                <w:ilvl w:val="0"/>
                <w:numId w:val="0"/>
              </w:numPr>
              <w:rPr>
                <w:rFonts w:hint="eastAsia"/>
                <w:sz w:val="18"/>
              </w:rPr>
            </w:pPr>
            <w:r>
              <w:rPr>
                <w:rFonts w:hint="eastAsia"/>
                <w:sz w:val="18"/>
                <w:szCs w:val="18"/>
              </w:rPr>
              <w:t>酸度/</w:t>
            </w:r>
            <w:r>
              <w:rPr>
                <w:sz w:val="18"/>
              </w:rPr>
              <w:t>（</w:t>
            </w:r>
            <w:r>
              <w:rPr>
                <w:rFonts w:hint="eastAsia"/>
                <w:sz w:val="18"/>
                <w:szCs w:val="18"/>
              </w:rPr>
              <w:t xml:space="preserve">°T） </w:t>
            </w:r>
            <w:r>
              <w:rPr>
                <w:sz w:val="18"/>
                <w:szCs w:val="18"/>
              </w:rPr>
              <w:t xml:space="preserve">      </w:t>
            </w:r>
            <w:r>
              <w:rPr>
                <w:rFonts w:hint="eastAsia"/>
                <w:sz w:val="18"/>
              </w:rPr>
              <w:t xml:space="preserve">             </w:t>
            </w:r>
            <w:r>
              <w:rPr>
                <w:sz w:val="18"/>
              </w:rPr>
              <w:t xml:space="preserve">        </w:t>
            </w:r>
            <w:r>
              <w:rPr>
                <w:rFonts w:hint="eastAsia"/>
                <w:sz w:val="18"/>
              </w:rPr>
              <w:t>≤</w:t>
            </w:r>
          </w:p>
        </w:tc>
        <w:tc>
          <w:tcPr>
            <w:tcW w:w="5493" w:type="dxa"/>
            <w:tcBorders>
              <w:top w:val="single" w:color="auto" w:sz="4" w:space="0"/>
            </w:tcBorders>
            <w:noWrap w:val="0"/>
            <w:vAlign w:val="center"/>
          </w:tcPr>
          <w:p>
            <w:pPr>
              <w:ind w:left="540" w:hanging="540" w:hangingChars="300"/>
              <w:jc w:val="center"/>
              <w:rPr>
                <w:rFonts w:hint="eastAsia" w:ascii="宋体"/>
                <w:sz w:val="18"/>
              </w:rPr>
            </w:pPr>
            <w:r>
              <w:rPr>
                <w:rFonts w:hint="eastAsia" w:ascii="宋体"/>
                <w:sz w:val="18"/>
              </w:rPr>
              <w:t>1.5（切粉）；2.0（榨粉，其中酸浆榨粉为2.5）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077" w:type="dxa"/>
            <w:tcBorders>
              <w:top w:val="single" w:color="auto" w:sz="4" w:space="0"/>
            </w:tcBorders>
            <w:noWrap w:val="0"/>
            <w:vAlign w:val="center"/>
          </w:tcPr>
          <w:p>
            <w:pPr>
              <w:pStyle w:val="120"/>
              <w:numPr>
                <w:ilvl w:val="0"/>
                <w:numId w:val="0"/>
              </w:numPr>
              <w:jc w:val="center"/>
              <w:rPr>
                <w:rFonts w:hint="eastAsia"/>
                <w:sz w:val="18"/>
                <w:szCs w:val="18"/>
              </w:rPr>
            </w:pPr>
            <w:r>
              <w:rPr>
                <w:rFonts w:hint="eastAsia"/>
                <w:sz w:val="18"/>
                <w:szCs w:val="18"/>
              </w:rPr>
              <w:t>蛋白质</w:t>
            </w:r>
            <w:r>
              <w:rPr>
                <w:rFonts w:hint="eastAsia"/>
                <w:sz w:val="18"/>
              </w:rPr>
              <w:t xml:space="preserve">/（g/100g）(以干基计）              </w:t>
            </w:r>
            <w:r>
              <w:rPr>
                <w:rFonts w:hint="eastAsia"/>
                <w:sz w:val="18"/>
                <w:szCs w:val="18"/>
              </w:rPr>
              <w:t>≥</w:t>
            </w:r>
          </w:p>
        </w:tc>
        <w:tc>
          <w:tcPr>
            <w:tcW w:w="5493" w:type="dxa"/>
            <w:tcBorders>
              <w:top w:val="single" w:color="auto" w:sz="4" w:space="0"/>
            </w:tcBorders>
            <w:noWrap w:val="0"/>
            <w:vAlign w:val="center"/>
          </w:tcPr>
          <w:p>
            <w:pPr>
              <w:jc w:val="center"/>
              <w:rPr>
                <w:rFonts w:hint="eastAsia" w:ascii="宋体"/>
                <w:sz w:val="18"/>
              </w:rPr>
            </w:pPr>
            <w:r>
              <w:rPr>
                <w:rFonts w:hint="eastAsia" w:ascii="宋体"/>
                <w:sz w:val="18"/>
              </w:rPr>
              <w:t>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77" w:type="dxa"/>
            <w:tcBorders>
              <w:top w:val="single" w:color="auto" w:sz="4" w:space="0"/>
            </w:tcBorders>
            <w:noWrap w:val="0"/>
            <w:vAlign w:val="center"/>
          </w:tcPr>
          <w:p>
            <w:pPr>
              <w:adjustRightInd w:val="0"/>
              <w:snapToGrid w:val="0"/>
              <w:spacing w:line="300" w:lineRule="exact"/>
              <w:rPr>
                <w:rFonts w:hint="eastAsia" w:ascii="宋体"/>
                <w:sz w:val="18"/>
              </w:rPr>
            </w:pPr>
            <w:r>
              <w:rPr>
                <w:rFonts w:hint="eastAsia" w:ascii="宋体"/>
                <w:sz w:val="18"/>
                <w:szCs w:val="18"/>
              </w:rPr>
              <w:t>总膳食纤维</w:t>
            </w:r>
            <w:r>
              <w:rPr>
                <w:rFonts w:hint="eastAsia" w:ascii="宋体"/>
                <w:sz w:val="18"/>
                <w:szCs w:val="18"/>
                <w:vertAlign w:val="superscript"/>
              </w:rPr>
              <w:t>a</w:t>
            </w:r>
            <w:r>
              <w:rPr>
                <w:rFonts w:hint="eastAsia" w:ascii="宋体"/>
                <w:sz w:val="18"/>
                <w:szCs w:val="18"/>
              </w:rPr>
              <w:t>/（g/100g）                  ≥</w:t>
            </w:r>
          </w:p>
        </w:tc>
        <w:tc>
          <w:tcPr>
            <w:tcW w:w="5493" w:type="dxa"/>
            <w:tcBorders>
              <w:top w:val="single" w:color="auto" w:sz="4" w:space="0"/>
            </w:tcBorders>
            <w:noWrap w:val="0"/>
            <w:vAlign w:val="center"/>
          </w:tcPr>
          <w:p>
            <w:pPr>
              <w:ind w:left="540" w:hanging="540" w:hangingChars="300"/>
              <w:jc w:val="center"/>
              <w:rPr>
                <w:rFonts w:hint="eastAsia" w:ascii="宋体"/>
                <w:sz w:val="18"/>
              </w:rPr>
            </w:pPr>
            <w:r>
              <w:rPr>
                <w:rFonts w:hint="eastAsia" w:ascii="宋体"/>
                <w:sz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ind w:left="540" w:hanging="540" w:hangingChars="300"/>
              <w:jc w:val="left"/>
              <w:rPr>
                <w:rFonts w:hint="eastAsia" w:ascii="宋体"/>
                <w:sz w:val="18"/>
              </w:rPr>
            </w:pPr>
            <w:r>
              <w:rPr>
                <w:rFonts w:hint="eastAsia" w:ascii="宋体"/>
                <w:sz w:val="18"/>
              </w:rPr>
              <w:t xml:space="preserve">铅（以Pb计）/（mg/kg）                 ≤                                     </w:t>
            </w:r>
          </w:p>
        </w:tc>
        <w:tc>
          <w:tcPr>
            <w:tcW w:w="5493" w:type="dxa"/>
            <w:noWrap w:val="0"/>
            <w:vAlign w:val="top"/>
          </w:tcPr>
          <w:p>
            <w:pPr>
              <w:ind w:left="540" w:hanging="540" w:hangingChars="300"/>
              <w:jc w:val="center"/>
              <w:rPr>
                <w:rFonts w:hint="eastAsia" w:ascii="宋体"/>
                <w:sz w:val="18"/>
              </w:rPr>
            </w:pPr>
            <w:r>
              <w:rPr>
                <w:rFonts w:hint="eastAsia" w:ascii="宋体"/>
                <w:sz w:val="18"/>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pPr>
              <w:ind w:left="540" w:hanging="540" w:hangingChars="300"/>
              <w:jc w:val="left"/>
              <w:rPr>
                <w:rFonts w:hint="eastAsia" w:ascii="宋体"/>
                <w:sz w:val="18"/>
              </w:rPr>
            </w:pPr>
            <w:r>
              <w:rPr>
                <w:rFonts w:hint="eastAsia" w:ascii="宋体"/>
                <w:sz w:val="18"/>
              </w:rPr>
              <w:t>无机砷（以As计）/（mg/kg）             ≤</w:t>
            </w:r>
          </w:p>
        </w:tc>
        <w:tc>
          <w:tcPr>
            <w:tcW w:w="5493" w:type="dxa"/>
            <w:noWrap w:val="0"/>
            <w:vAlign w:val="top"/>
          </w:tcPr>
          <w:p>
            <w:pPr>
              <w:ind w:left="540" w:hanging="540" w:hangingChars="300"/>
              <w:jc w:val="center"/>
              <w:rPr>
                <w:rFonts w:hint="eastAsia" w:ascii="宋体"/>
                <w:sz w:val="18"/>
              </w:rPr>
            </w:pPr>
            <w:r>
              <w:rPr>
                <w:rFonts w:hint="eastAsia" w:ascii="宋体"/>
                <w:sz w:val="18"/>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pPr>
              <w:ind w:left="540" w:hanging="540" w:hangingChars="300"/>
              <w:jc w:val="left"/>
              <w:rPr>
                <w:rFonts w:hint="eastAsia" w:ascii="宋体"/>
                <w:sz w:val="18"/>
              </w:rPr>
            </w:pPr>
            <w:r>
              <w:rPr>
                <w:rFonts w:hint="eastAsia" w:ascii="宋体"/>
                <w:sz w:val="18"/>
              </w:rPr>
              <w:t>镉（以Cd计）/（mg/kg）                 ≤</w:t>
            </w:r>
          </w:p>
        </w:tc>
        <w:tc>
          <w:tcPr>
            <w:tcW w:w="5493" w:type="dxa"/>
            <w:noWrap w:val="0"/>
            <w:vAlign w:val="top"/>
          </w:tcPr>
          <w:p>
            <w:pPr>
              <w:ind w:left="540" w:hanging="540" w:hangingChars="300"/>
              <w:jc w:val="center"/>
              <w:rPr>
                <w:rFonts w:hint="eastAsia" w:ascii="宋体"/>
                <w:sz w:val="18"/>
              </w:rPr>
            </w:pPr>
            <w:r>
              <w:rPr>
                <w:rFonts w:hint="eastAsia" w:ascii="宋体"/>
                <w:sz w:val="18"/>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ind w:left="540" w:hanging="540" w:hangingChars="300"/>
              <w:jc w:val="left"/>
              <w:rPr>
                <w:rFonts w:hint="eastAsia" w:ascii="宋体"/>
                <w:sz w:val="18"/>
              </w:rPr>
            </w:pPr>
            <w:r>
              <w:rPr>
                <w:rFonts w:hint="eastAsia" w:ascii="宋体"/>
                <w:sz w:val="18"/>
              </w:rPr>
              <w:t>黄曲霉毒素B</w:t>
            </w:r>
            <w:r>
              <w:rPr>
                <w:rFonts w:hint="eastAsia" w:ascii="宋体"/>
                <w:sz w:val="18"/>
                <w:vertAlign w:val="subscript"/>
              </w:rPr>
              <w:t>1</w:t>
            </w:r>
            <w:r>
              <w:rPr>
                <w:rFonts w:hint="eastAsia" w:ascii="宋体"/>
                <w:sz w:val="18"/>
              </w:rPr>
              <w:t>/（μg/kg)                  ≤</w:t>
            </w:r>
          </w:p>
        </w:tc>
        <w:tc>
          <w:tcPr>
            <w:tcW w:w="5493" w:type="dxa"/>
            <w:noWrap w:val="0"/>
            <w:vAlign w:val="top"/>
          </w:tcPr>
          <w:p>
            <w:pPr>
              <w:ind w:left="540" w:hanging="540" w:hangingChars="300"/>
              <w:jc w:val="center"/>
              <w:rPr>
                <w:rFonts w:hint="eastAsia" w:ascii="宋体"/>
                <w:sz w:val="18"/>
              </w:rPr>
            </w:pPr>
            <w:r>
              <w:rPr>
                <w:rFonts w:hint="eastAsia" w:ascii="宋体"/>
                <w:sz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77" w:type="dxa"/>
            <w:tcBorders>
              <w:top w:val="single" w:color="auto" w:sz="4" w:space="0"/>
              <w:bottom w:val="single" w:color="auto" w:sz="8" w:space="0"/>
            </w:tcBorders>
            <w:noWrap w:val="0"/>
            <w:vAlign w:val="top"/>
          </w:tcPr>
          <w:p>
            <w:pPr>
              <w:ind w:left="540" w:hanging="540" w:hangingChars="300"/>
              <w:jc w:val="left"/>
              <w:rPr>
                <w:rFonts w:hint="eastAsia" w:ascii="宋体"/>
                <w:sz w:val="18"/>
              </w:rPr>
            </w:pPr>
            <w:r>
              <w:rPr>
                <w:rFonts w:hint="eastAsia" w:ascii="宋体"/>
                <w:sz w:val="18"/>
              </w:rPr>
              <w:t xml:space="preserve">其它真菌毒素                              </w:t>
            </w:r>
          </w:p>
        </w:tc>
        <w:tc>
          <w:tcPr>
            <w:tcW w:w="5493" w:type="dxa"/>
            <w:tcBorders>
              <w:top w:val="single" w:color="auto" w:sz="4" w:space="0"/>
              <w:bottom w:val="single" w:color="auto" w:sz="8" w:space="0"/>
            </w:tcBorders>
            <w:noWrap w:val="0"/>
            <w:vAlign w:val="top"/>
          </w:tcPr>
          <w:p>
            <w:pPr>
              <w:ind w:left="540" w:hanging="540" w:hangingChars="300"/>
              <w:jc w:val="center"/>
              <w:rPr>
                <w:rFonts w:hint="eastAsia" w:ascii="宋体"/>
                <w:sz w:val="18"/>
              </w:rPr>
            </w:pPr>
            <w:r>
              <w:rPr>
                <w:rFonts w:hint="eastAsia" w:ascii="宋体"/>
                <w:sz w:val="18"/>
              </w:rPr>
              <w:t>符合GB 2761的规定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570" w:type="dxa"/>
            <w:gridSpan w:val="2"/>
            <w:noWrap w:val="0"/>
            <w:vAlign w:val="top"/>
          </w:tcPr>
          <w:p>
            <w:pPr>
              <w:pStyle w:val="101"/>
              <w:numPr>
                <w:ilvl w:val="0"/>
                <w:numId w:val="0"/>
              </w:numPr>
              <w:tabs>
                <w:tab w:val="clear" w:pos="0"/>
              </w:tabs>
              <w:ind w:left="363"/>
            </w:pPr>
            <w:r>
              <w:rPr>
                <w:rFonts w:hint="eastAsia"/>
                <w:vertAlign w:val="superscript"/>
              </w:rPr>
              <w:t xml:space="preserve">a   </w:t>
            </w:r>
            <w:r>
              <w:rPr>
                <w:rFonts w:hint="eastAsia"/>
              </w:rPr>
              <w:t>仅限于使用糙米为原料的鲜湿米粉。</w:t>
            </w:r>
          </w:p>
        </w:tc>
      </w:tr>
    </w:tbl>
    <w:p>
      <w:pPr>
        <w:pStyle w:val="48"/>
      </w:pPr>
      <w:bookmarkStart w:id="8" w:name="_Toc390288322"/>
      <w:r>
        <w:rPr>
          <w:rFonts w:hint="eastAsia"/>
        </w:rPr>
        <w:t>微生物</w:t>
      </w:r>
      <w:bookmarkEnd w:id="8"/>
      <w:r>
        <w:rPr>
          <w:rFonts w:hint="eastAsia"/>
        </w:rPr>
        <w:t>限量</w:t>
      </w:r>
    </w:p>
    <w:p>
      <w:pPr>
        <w:pStyle w:val="22"/>
        <w:rPr>
          <w:rFonts w:hint="eastAsia"/>
        </w:rPr>
      </w:pPr>
      <w:r>
        <w:rPr>
          <w:rFonts w:hint="eastAsia"/>
        </w:rPr>
        <w:t>应符合表3的规定。</w:t>
      </w:r>
    </w:p>
    <w:p>
      <w:pPr>
        <w:pStyle w:val="132"/>
        <w:numPr>
          <w:ilvl w:val="0"/>
          <w:numId w:val="0"/>
        </w:numPr>
        <w:tabs>
          <w:tab w:val="clear" w:pos="0"/>
        </w:tabs>
        <w:ind w:left="3885" w:firstLine="0"/>
        <w:jc w:val="left"/>
        <w:rPr>
          <w:rFonts w:hint="eastAsia" w:ascii="宋体" w:eastAsia="宋体"/>
          <w:b/>
          <w:sz w:val="18"/>
          <w:szCs w:val="18"/>
        </w:rPr>
      </w:pPr>
      <w:r>
        <w:rPr>
          <w:rFonts w:hint="eastAsia" w:ascii="宋体" w:eastAsia="宋体"/>
          <w:b/>
          <w:sz w:val="18"/>
          <w:szCs w:val="18"/>
        </w:rPr>
        <w:t>表3  微生物限量</w:t>
      </w:r>
    </w:p>
    <w:tbl>
      <w:tblPr>
        <w:tblStyle w:val="3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830"/>
        <w:gridCol w:w="1831"/>
        <w:gridCol w:w="1831"/>
        <w:gridCol w:w="18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35" w:type="dxa"/>
            <w:vMerge w:val="restart"/>
            <w:tcBorders>
              <w:top w:val="single" w:color="auto" w:sz="8" w:space="0"/>
            </w:tcBorders>
            <w:noWrap w:val="0"/>
            <w:vAlign w:val="center"/>
          </w:tcPr>
          <w:p>
            <w:pPr>
              <w:jc w:val="center"/>
              <w:rPr>
                <w:rFonts w:hint="eastAsia" w:ascii="宋体"/>
                <w:sz w:val="18"/>
              </w:rPr>
            </w:pPr>
            <w:r>
              <w:rPr>
                <w:rFonts w:hint="eastAsia" w:ascii="宋体"/>
                <w:sz w:val="18"/>
              </w:rPr>
              <w:t>项    目</w:t>
            </w:r>
          </w:p>
        </w:tc>
        <w:tc>
          <w:tcPr>
            <w:tcW w:w="7323" w:type="dxa"/>
            <w:gridSpan w:val="4"/>
            <w:tcBorders>
              <w:top w:val="single" w:color="auto" w:sz="8" w:space="0"/>
              <w:bottom w:val="single" w:color="auto" w:sz="4" w:space="0"/>
            </w:tcBorders>
            <w:noWrap w:val="0"/>
            <w:vAlign w:val="center"/>
          </w:tcPr>
          <w:p>
            <w:pPr>
              <w:jc w:val="center"/>
              <w:rPr>
                <w:rFonts w:hint="eastAsia" w:ascii="宋体"/>
                <w:sz w:val="18"/>
              </w:rPr>
            </w:pPr>
            <w:r>
              <w:rPr>
                <w:rFonts w:hint="eastAsia" w:ascii="宋体"/>
                <w:sz w:val="18"/>
              </w:rPr>
              <w:t>采样方案及限量（若非指定，均以/25g表示）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35" w:type="dxa"/>
            <w:vMerge w:val="continue"/>
            <w:tcBorders>
              <w:bottom w:val="single" w:color="auto" w:sz="8" w:space="0"/>
            </w:tcBorders>
            <w:noWrap w:val="0"/>
            <w:vAlign w:val="center"/>
          </w:tcPr>
          <w:p/>
        </w:tc>
        <w:tc>
          <w:tcPr>
            <w:tcW w:w="1830"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sz w:val="18"/>
              </w:rPr>
              <w:t>n</w:t>
            </w:r>
          </w:p>
        </w:tc>
        <w:tc>
          <w:tcPr>
            <w:tcW w:w="1831"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sz w:val="18"/>
              </w:rPr>
              <w:t>c</w:t>
            </w:r>
          </w:p>
        </w:tc>
        <w:tc>
          <w:tcPr>
            <w:tcW w:w="1831"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sz w:val="18"/>
              </w:rPr>
              <w:t>m</w:t>
            </w:r>
          </w:p>
        </w:tc>
        <w:tc>
          <w:tcPr>
            <w:tcW w:w="1831"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sz w:val="18"/>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35" w:type="dxa"/>
            <w:tcBorders>
              <w:left w:val="single" w:color="auto" w:sz="8" w:space="0"/>
              <w:bottom w:val="single" w:color="auto" w:sz="4" w:space="0"/>
            </w:tcBorders>
            <w:noWrap w:val="0"/>
            <w:vAlign w:val="center"/>
          </w:tcPr>
          <w:p>
            <w:pPr>
              <w:jc w:val="center"/>
              <w:rPr>
                <w:rFonts w:hint="eastAsia" w:ascii="宋体"/>
                <w:sz w:val="18"/>
              </w:rPr>
            </w:pPr>
            <w:r>
              <w:rPr>
                <w:rFonts w:hint="eastAsia" w:ascii="宋体"/>
                <w:sz w:val="18"/>
              </w:rPr>
              <w:t>菌落总数/(CFU/g)</w:t>
            </w:r>
          </w:p>
        </w:tc>
        <w:tc>
          <w:tcPr>
            <w:tcW w:w="1830" w:type="dxa"/>
            <w:tcBorders>
              <w:top w:val="single" w:color="auto" w:sz="4" w:space="0"/>
              <w:bottom w:val="single" w:color="auto" w:sz="4" w:space="0"/>
            </w:tcBorders>
            <w:noWrap w:val="0"/>
            <w:vAlign w:val="top"/>
          </w:tcPr>
          <w:p>
            <w:pPr>
              <w:jc w:val="center"/>
              <w:rPr>
                <w:rFonts w:hint="eastAsia" w:ascii="宋体"/>
                <w:sz w:val="18"/>
              </w:rPr>
            </w:pPr>
            <w:r>
              <w:rPr>
                <w:rFonts w:hint="eastAsia" w:ascii="宋体"/>
                <w:sz w:val="18"/>
              </w:rPr>
              <w:t>5</w:t>
            </w:r>
          </w:p>
        </w:tc>
        <w:tc>
          <w:tcPr>
            <w:tcW w:w="1831" w:type="dxa"/>
            <w:tcBorders>
              <w:top w:val="single" w:color="auto" w:sz="4" w:space="0"/>
              <w:bottom w:val="single" w:color="auto" w:sz="4" w:space="0"/>
            </w:tcBorders>
            <w:noWrap w:val="0"/>
            <w:vAlign w:val="top"/>
          </w:tcPr>
          <w:p>
            <w:pPr>
              <w:jc w:val="center"/>
              <w:rPr>
                <w:rFonts w:hint="eastAsia" w:ascii="宋体"/>
                <w:sz w:val="18"/>
              </w:rPr>
            </w:pPr>
            <w:r>
              <w:rPr>
                <w:rFonts w:hint="eastAsia" w:ascii="宋体"/>
                <w:sz w:val="18"/>
              </w:rPr>
              <w:t>2</w:t>
            </w:r>
          </w:p>
        </w:tc>
        <w:tc>
          <w:tcPr>
            <w:tcW w:w="1831" w:type="dxa"/>
            <w:tcBorders>
              <w:top w:val="single" w:color="auto" w:sz="4" w:space="0"/>
              <w:bottom w:val="single" w:color="auto" w:sz="4" w:space="0"/>
            </w:tcBorders>
            <w:noWrap w:val="0"/>
            <w:vAlign w:val="top"/>
          </w:tcPr>
          <w:p>
            <w:pPr>
              <w:jc w:val="center"/>
              <w:rPr>
                <w:rFonts w:hint="eastAsia" w:ascii="宋体"/>
                <w:sz w:val="18"/>
                <w:vertAlign w:val="superscript"/>
              </w:rPr>
            </w:pPr>
            <w:r>
              <w:rPr>
                <w:rFonts w:hint="eastAsia" w:ascii="宋体"/>
                <w:sz w:val="18"/>
              </w:rPr>
              <w:t>10</w:t>
            </w:r>
            <w:r>
              <w:rPr>
                <w:rFonts w:hint="eastAsia" w:ascii="宋体"/>
                <w:sz w:val="18"/>
                <w:vertAlign w:val="superscript"/>
              </w:rPr>
              <w:t>4</w:t>
            </w:r>
          </w:p>
        </w:tc>
        <w:tc>
          <w:tcPr>
            <w:tcW w:w="1831" w:type="dxa"/>
            <w:tcBorders>
              <w:top w:val="single" w:color="auto" w:sz="4" w:space="0"/>
              <w:bottom w:val="single" w:color="auto" w:sz="4" w:space="0"/>
            </w:tcBorders>
            <w:noWrap w:val="0"/>
            <w:vAlign w:val="top"/>
          </w:tcPr>
          <w:p>
            <w:pPr>
              <w:jc w:val="center"/>
              <w:rPr>
                <w:rFonts w:hint="eastAsia" w:ascii="宋体"/>
                <w:sz w:val="18"/>
              </w:rPr>
            </w:pPr>
            <w:r>
              <w:rPr>
                <w:rFonts w:hint="eastAsia" w:ascii="宋体"/>
                <w:sz w:val="18"/>
              </w:rPr>
              <w:t>10</w:t>
            </w:r>
            <w:r>
              <w:rPr>
                <w:rFonts w:hint="eastAsia" w:ascii="宋体"/>
                <w:sz w:val="18"/>
                <w:vertAlign w:val="superscript"/>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35" w:type="dxa"/>
            <w:tcBorders>
              <w:left w:val="single" w:color="auto" w:sz="8" w:space="0"/>
              <w:bottom w:val="single" w:color="auto" w:sz="4" w:space="0"/>
            </w:tcBorders>
            <w:noWrap w:val="0"/>
            <w:vAlign w:val="center"/>
          </w:tcPr>
          <w:p>
            <w:pPr>
              <w:jc w:val="center"/>
              <w:rPr>
                <w:rFonts w:hint="eastAsia" w:ascii="宋体"/>
                <w:sz w:val="18"/>
              </w:rPr>
            </w:pPr>
            <w:r>
              <w:rPr>
                <w:rFonts w:hint="eastAsia" w:ascii="宋体"/>
                <w:sz w:val="18"/>
              </w:rPr>
              <w:t>大肠菌群/(CFU/g)</w:t>
            </w:r>
          </w:p>
        </w:tc>
        <w:tc>
          <w:tcPr>
            <w:tcW w:w="1830" w:type="dxa"/>
            <w:tcBorders>
              <w:top w:val="single" w:color="auto" w:sz="4" w:space="0"/>
              <w:bottom w:val="single" w:color="auto" w:sz="4" w:space="0"/>
            </w:tcBorders>
            <w:noWrap w:val="0"/>
            <w:vAlign w:val="top"/>
          </w:tcPr>
          <w:p>
            <w:pPr>
              <w:jc w:val="center"/>
              <w:rPr>
                <w:rFonts w:hint="eastAsia" w:ascii="宋体"/>
                <w:sz w:val="18"/>
              </w:rPr>
            </w:pPr>
            <w:r>
              <w:rPr>
                <w:rFonts w:hint="eastAsia" w:ascii="宋体"/>
                <w:sz w:val="18"/>
              </w:rPr>
              <w:t>5</w:t>
            </w:r>
          </w:p>
        </w:tc>
        <w:tc>
          <w:tcPr>
            <w:tcW w:w="1831" w:type="dxa"/>
            <w:tcBorders>
              <w:top w:val="single" w:color="auto" w:sz="4" w:space="0"/>
              <w:bottom w:val="single" w:color="auto" w:sz="4" w:space="0"/>
            </w:tcBorders>
            <w:noWrap w:val="0"/>
            <w:vAlign w:val="top"/>
          </w:tcPr>
          <w:p>
            <w:pPr>
              <w:jc w:val="center"/>
              <w:rPr>
                <w:rFonts w:hint="eastAsia" w:ascii="宋体"/>
                <w:sz w:val="18"/>
              </w:rPr>
            </w:pPr>
            <w:r>
              <w:rPr>
                <w:rFonts w:hint="eastAsia" w:ascii="宋体"/>
                <w:sz w:val="18"/>
              </w:rPr>
              <w:t>2</w:t>
            </w:r>
          </w:p>
        </w:tc>
        <w:tc>
          <w:tcPr>
            <w:tcW w:w="1831" w:type="dxa"/>
            <w:tcBorders>
              <w:top w:val="single" w:color="auto" w:sz="4" w:space="0"/>
              <w:bottom w:val="single" w:color="auto" w:sz="4" w:space="0"/>
            </w:tcBorders>
            <w:noWrap w:val="0"/>
            <w:vAlign w:val="top"/>
          </w:tcPr>
          <w:p>
            <w:pPr>
              <w:jc w:val="center"/>
              <w:rPr>
                <w:rFonts w:hint="eastAsia" w:ascii="宋体"/>
                <w:sz w:val="18"/>
              </w:rPr>
            </w:pPr>
            <w:r>
              <w:rPr>
                <w:rFonts w:hint="eastAsia" w:ascii="宋体"/>
                <w:sz w:val="18"/>
              </w:rPr>
              <w:t>20</w:t>
            </w:r>
          </w:p>
        </w:tc>
        <w:tc>
          <w:tcPr>
            <w:tcW w:w="1831" w:type="dxa"/>
            <w:tcBorders>
              <w:top w:val="single" w:color="auto" w:sz="4" w:space="0"/>
              <w:bottom w:val="single" w:color="auto" w:sz="4" w:space="0"/>
            </w:tcBorders>
            <w:noWrap w:val="0"/>
            <w:vAlign w:val="top"/>
          </w:tcPr>
          <w:p>
            <w:pPr>
              <w:jc w:val="center"/>
              <w:rPr>
                <w:rFonts w:hint="eastAsia" w:ascii="宋体"/>
                <w:sz w:val="18"/>
              </w:rPr>
            </w:pPr>
            <w:r>
              <w:rPr>
                <w:rFonts w:hint="eastAsia" w:ascii="宋体"/>
                <w:sz w:val="18"/>
              </w:rPr>
              <w:t>10</w:t>
            </w:r>
            <w:r>
              <w:rPr>
                <w:rFonts w:hint="eastAsia" w:ascii="宋体"/>
                <w:sz w:val="18"/>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8" w:space="0"/>
              <w:bottom w:val="single" w:color="auto" w:sz="8" w:space="0"/>
              <w:right w:val="single" w:color="auto" w:sz="4" w:space="0"/>
            </w:tcBorders>
            <w:noWrap w:val="0"/>
            <w:vAlign w:val="center"/>
          </w:tcPr>
          <w:p>
            <w:pPr>
              <w:jc w:val="center"/>
              <w:rPr>
                <w:rFonts w:hint="eastAsia" w:ascii="宋体"/>
                <w:sz w:val="18"/>
              </w:rPr>
            </w:pPr>
            <w:r>
              <w:rPr>
                <w:rFonts w:hint="eastAsia" w:ascii="宋体"/>
                <w:sz w:val="18"/>
              </w:rPr>
              <w:t>沙门氏菌</w:t>
            </w:r>
          </w:p>
        </w:tc>
        <w:tc>
          <w:tcPr>
            <w:tcW w:w="1830" w:type="dxa"/>
            <w:tcBorders>
              <w:top w:val="single" w:color="auto" w:sz="4" w:space="0"/>
              <w:left w:val="single" w:color="auto" w:sz="4" w:space="0"/>
              <w:bottom w:val="single" w:color="auto" w:sz="8" w:space="0"/>
              <w:right w:val="single" w:color="auto" w:sz="4" w:space="0"/>
            </w:tcBorders>
            <w:noWrap w:val="0"/>
            <w:vAlign w:val="top"/>
          </w:tcPr>
          <w:p>
            <w:pPr>
              <w:jc w:val="center"/>
              <w:rPr>
                <w:rFonts w:hint="eastAsia" w:ascii="宋体"/>
                <w:sz w:val="18"/>
              </w:rPr>
            </w:pPr>
            <w:r>
              <w:rPr>
                <w:rFonts w:hint="eastAsia" w:ascii="宋体"/>
                <w:sz w:val="18"/>
              </w:rPr>
              <w:t>5</w:t>
            </w:r>
          </w:p>
        </w:tc>
        <w:tc>
          <w:tcPr>
            <w:tcW w:w="1831" w:type="dxa"/>
            <w:tcBorders>
              <w:top w:val="single" w:color="auto" w:sz="4" w:space="0"/>
              <w:left w:val="single" w:color="auto" w:sz="4" w:space="0"/>
              <w:bottom w:val="single" w:color="auto" w:sz="8" w:space="0"/>
              <w:right w:val="single" w:color="auto" w:sz="4" w:space="0"/>
            </w:tcBorders>
            <w:noWrap w:val="0"/>
            <w:vAlign w:val="top"/>
          </w:tcPr>
          <w:p>
            <w:pPr>
              <w:jc w:val="center"/>
              <w:rPr>
                <w:rFonts w:hint="eastAsia" w:ascii="宋体"/>
                <w:sz w:val="18"/>
              </w:rPr>
            </w:pPr>
            <w:r>
              <w:rPr>
                <w:rFonts w:hint="eastAsia" w:ascii="宋体"/>
                <w:sz w:val="18"/>
              </w:rPr>
              <w:t>0</w:t>
            </w:r>
          </w:p>
        </w:tc>
        <w:tc>
          <w:tcPr>
            <w:tcW w:w="1831" w:type="dxa"/>
            <w:tcBorders>
              <w:top w:val="single" w:color="auto" w:sz="4" w:space="0"/>
              <w:left w:val="single" w:color="auto" w:sz="4" w:space="0"/>
              <w:bottom w:val="single" w:color="auto" w:sz="8" w:space="0"/>
              <w:right w:val="single" w:color="auto" w:sz="4" w:space="0"/>
            </w:tcBorders>
            <w:noWrap w:val="0"/>
            <w:vAlign w:val="top"/>
          </w:tcPr>
          <w:p>
            <w:pPr>
              <w:jc w:val="center"/>
              <w:rPr>
                <w:rFonts w:hint="eastAsia" w:ascii="宋体"/>
                <w:sz w:val="18"/>
              </w:rPr>
            </w:pPr>
            <w:r>
              <w:rPr>
                <w:rFonts w:hint="eastAsia" w:ascii="宋体"/>
                <w:sz w:val="18"/>
              </w:rPr>
              <w:t>0</w:t>
            </w:r>
          </w:p>
        </w:tc>
        <w:tc>
          <w:tcPr>
            <w:tcW w:w="1831" w:type="dxa"/>
            <w:tcBorders>
              <w:top w:val="single" w:color="auto" w:sz="4" w:space="0"/>
              <w:left w:val="single" w:color="auto" w:sz="4" w:space="0"/>
              <w:bottom w:val="single" w:color="auto" w:sz="8" w:space="0"/>
              <w:right w:val="single" w:color="auto" w:sz="8" w:space="0"/>
            </w:tcBorders>
            <w:noWrap w:val="0"/>
            <w:vAlign w:val="top"/>
          </w:tcPr>
          <w:p>
            <w:pPr>
              <w:jc w:val="center"/>
              <w:rPr>
                <w:rFonts w:hint="eastAsia" w:ascii="宋体"/>
                <w:sz w:val="18"/>
              </w:rPr>
            </w:pPr>
            <w:r>
              <w:rPr>
                <w:rFonts w:hint="eastAsia" w:asci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sz w:val="18"/>
              </w:rPr>
              <w:t>金黄色葡萄球菌</w:t>
            </w:r>
          </w:p>
        </w:tc>
        <w:tc>
          <w:tcPr>
            <w:tcW w:w="1830"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5</w:t>
            </w:r>
          </w:p>
        </w:tc>
        <w:tc>
          <w:tcPr>
            <w:tcW w:w="1831"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1</w:t>
            </w:r>
          </w:p>
        </w:tc>
        <w:tc>
          <w:tcPr>
            <w:tcW w:w="1831"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10</w:t>
            </w:r>
            <w:r>
              <w:rPr>
                <w:rFonts w:hint="eastAsia" w:ascii="宋体"/>
                <w:sz w:val="18"/>
                <w:vertAlign w:val="superscript"/>
              </w:rPr>
              <w:t>2</w:t>
            </w:r>
            <w:r>
              <w:rPr>
                <w:rFonts w:hint="eastAsia" w:ascii="宋体"/>
                <w:sz w:val="18"/>
                <w:vertAlign w:val="subscript"/>
              </w:rPr>
              <w:t xml:space="preserve"> </w:t>
            </w:r>
            <w:r>
              <w:rPr>
                <w:rFonts w:hint="eastAsia" w:ascii="宋体"/>
                <w:sz w:val="18"/>
              </w:rPr>
              <w:t>CFU/g</w:t>
            </w:r>
          </w:p>
        </w:tc>
        <w:tc>
          <w:tcPr>
            <w:tcW w:w="1831"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10</w:t>
            </w:r>
            <w:r>
              <w:rPr>
                <w:rFonts w:hint="eastAsia" w:ascii="宋体"/>
                <w:sz w:val="18"/>
                <w:vertAlign w:val="superscript"/>
              </w:rPr>
              <w:t>3</w:t>
            </w:r>
            <w:r>
              <w:rPr>
                <w:rFonts w:hint="eastAsia" w:ascii="宋体"/>
                <w:sz w:val="18"/>
                <w:vertAlign w:val="subscript"/>
              </w:rPr>
              <w:t xml:space="preserve"> </w:t>
            </w:r>
            <w:r>
              <w:rPr>
                <w:rFonts w:hint="eastAsia" w:ascii="宋体"/>
                <w:sz w:val="18"/>
              </w:rPr>
              <w:t>CFU/g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58" w:type="dxa"/>
            <w:gridSpan w:val="5"/>
            <w:tcBorders>
              <w:top w:val="single" w:color="auto" w:sz="8" w:space="0"/>
              <w:bottom w:val="single" w:color="auto" w:sz="8" w:space="0"/>
            </w:tcBorders>
            <w:noWrap w:val="0"/>
            <w:vAlign w:val="center"/>
          </w:tcPr>
          <w:p>
            <w:pPr>
              <w:pStyle w:val="101"/>
              <w:numPr>
                <w:ilvl w:val="0"/>
                <w:numId w:val="0"/>
              </w:numPr>
              <w:tabs>
                <w:tab w:val="clear" w:pos="0"/>
              </w:tabs>
              <w:ind w:left="363"/>
              <w:rPr>
                <w:rFonts w:hint="eastAsia"/>
              </w:rPr>
            </w:pPr>
            <w:r>
              <w:rPr>
                <w:rFonts w:hint="eastAsia"/>
              </w:rPr>
              <w:t>注：</w:t>
            </w:r>
            <w:r>
              <w:t>n为同一批次产品应采集的样品件数；c为最大可允许超出m值的样品数；m为</w:t>
            </w:r>
            <w:r>
              <w:rPr>
                <w:rFonts w:hint="eastAsia"/>
              </w:rPr>
              <w:t>微生物指标</w:t>
            </w:r>
            <w:r>
              <w:t>可接受水平的限量值；M为</w:t>
            </w:r>
            <w:r>
              <w:rPr>
                <w:rFonts w:hint="eastAsia"/>
              </w:rPr>
              <w:t>微生物指标的最高安全</w:t>
            </w:r>
            <w:r>
              <w:t>限量值</w:t>
            </w:r>
            <w:r>
              <w:rPr>
                <w:rFonts w:hint="eastAsia"/>
              </w:rPr>
              <w:t>。</w:t>
            </w:r>
          </w:p>
        </w:tc>
      </w:tr>
    </w:tbl>
    <w:p>
      <w:pPr>
        <w:pStyle w:val="60"/>
      </w:pPr>
      <w:r>
        <w:rPr>
          <w:rFonts w:hint="eastAsia"/>
        </w:rPr>
        <w:t>食品</w:t>
      </w:r>
      <w:r>
        <w:t>添加剂</w:t>
      </w:r>
    </w:p>
    <w:p>
      <w:pPr>
        <w:pStyle w:val="22"/>
        <w:ind w:firstLine="315" w:firstLineChars="150"/>
        <w:rPr>
          <w:rFonts w:hint="eastAsia"/>
        </w:rPr>
      </w:pPr>
      <w:r>
        <w:rPr>
          <w:rFonts w:hint="eastAsia"/>
        </w:rPr>
        <w:t>食品添加剂的使用应符合</w:t>
      </w:r>
      <w:r>
        <w:t xml:space="preserve">GB </w:t>
      </w:r>
      <w:r>
        <w:rPr>
          <w:rFonts w:hint="eastAsia"/>
        </w:rPr>
        <w:t>2760及国家有关规定。</w:t>
      </w:r>
    </w:p>
    <w:p>
      <w:pPr>
        <w:pStyle w:val="60"/>
      </w:pPr>
      <w:r>
        <w:t>生产加工过程卫生要求</w:t>
      </w:r>
    </w:p>
    <w:p>
      <w:pPr>
        <w:pStyle w:val="22"/>
        <w:ind w:firstLine="315" w:firstLineChars="150"/>
      </w:pPr>
      <w:r>
        <w:rPr>
          <w:rFonts w:hint="eastAsia"/>
        </w:rPr>
        <w:t>应符合</w:t>
      </w:r>
      <w:r>
        <w:t xml:space="preserve">GB </w:t>
      </w:r>
      <w:r>
        <w:rPr>
          <w:rFonts w:hint="eastAsia"/>
        </w:rPr>
        <w:t>14881的规定。</w:t>
      </w:r>
    </w:p>
    <w:p>
      <w:pPr>
        <w:pStyle w:val="60"/>
      </w:pPr>
      <w:bookmarkStart w:id="9" w:name="_Toc390288325"/>
      <w:r>
        <w:rPr>
          <w:rFonts w:hint="eastAsia"/>
        </w:rPr>
        <w:t>检验方法</w:t>
      </w:r>
      <w:bookmarkEnd w:id="9"/>
    </w:p>
    <w:p>
      <w:pPr>
        <w:pStyle w:val="48"/>
        <w:rPr>
          <w:rFonts w:ascii="宋体" w:hAnsi="宋体"/>
        </w:rPr>
      </w:pPr>
      <w:bookmarkStart w:id="10" w:name="_Toc390288326"/>
      <w:r>
        <w:rPr>
          <w:rFonts w:hint="eastAsia"/>
        </w:rPr>
        <w:t>感官要求</w:t>
      </w:r>
      <w:bookmarkEnd w:id="10"/>
    </w:p>
    <w:p>
      <w:pPr>
        <w:pStyle w:val="22"/>
      </w:pPr>
      <w:r>
        <w:rPr>
          <w:rFonts w:hint="eastAsia"/>
        </w:rPr>
        <w:t>取适量样品用目视法、鼻嗅法、口尝法检查，非即食类需经加热熟制后再进行口感检验。</w:t>
      </w:r>
    </w:p>
    <w:p>
      <w:pPr>
        <w:pStyle w:val="48"/>
        <w:rPr>
          <w:rFonts w:hint="eastAsia"/>
        </w:rPr>
      </w:pPr>
      <w:bookmarkStart w:id="11" w:name="_Toc390288327"/>
      <w:r>
        <w:rPr>
          <w:rFonts w:hint="eastAsia"/>
        </w:rPr>
        <w:t>理化指标</w:t>
      </w:r>
      <w:bookmarkEnd w:id="11"/>
    </w:p>
    <w:p>
      <w:pPr>
        <w:pStyle w:val="49"/>
        <w:spacing w:before="156" w:after="156"/>
        <w:ind w:left="2"/>
        <w:rPr>
          <w:rFonts w:hint="eastAsia"/>
        </w:rPr>
      </w:pPr>
      <w:r>
        <w:rPr>
          <w:rFonts w:hint="eastAsia"/>
        </w:rPr>
        <w:t>水分</w:t>
      </w:r>
    </w:p>
    <w:p>
      <w:pPr>
        <w:pStyle w:val="22"/>
        <w:rPr>
          <w:rFonts w:hint="eastAsia"/>
        </w:rPr>
      </w:pPr>
      <w:r>
        <w:rPr>
          <w:rFonts w:hint="eastAsia"/>
        </w:rPr>
        <w:t>按GB 5009.3</w:t>
      </w:r>
      <w:r>
        <w:rPr>
          <w:rFonts w:hint="eastAsia"/>
          <w:vertAlign w:val="superscript"/>
        </w:rPr>
        <w:t xml:space="preserve"> </w:t>
      </w:r>
      <w:r>
        <w:rPr>
          <w:rFonts w:hint="eastAsia"/>
        </w:rPr>
        <w:t>规定的方法</w:t>
      </w:r>
      <w:r>
        <w:rPr>
          <w:rFonts w:hint="eastAsia"/>
          <w:szCs w:val="21"/>
        </w:rPr>
        <w:t>测定</w:t>
      </w:r>
      <w:r>
        <w:rPr>
          <w:rFonts w:hint="eastAsia"/>
        </w:rPr>
        <w:t>。</w:t>
      </w:r>
    </w:p>
    <w:p>
      <w:pPr>
        <w:pStyle w:val="49"/>
        <w:spacing w:before="156" w:after="156"/>
        <w:rPr>
          <w:rFonts w:hint="eastAsia"/>
        </w:rPr>
      </w:pPr>
      <w:r>
        <w:rPr>
          <w:rFonts w:hint="eastAsia"/>
        </w:rPr>
        <w:t>酸度</w:t>
      </w:r>
    </w:p>
    <w:p>
      <w:pPr>
        <w:pStyle w:val="22"/>
        <w:rPr>
          <w:rFonts w:hint="eastAsia"/>
        </w:rPr>
      </w:pPr>
      <w:r>
        <w:rPr>
          <w:rFonts w:hint="eastAsia"/>
        </w:rPr>
        <w:t>按照GB 5009.239规定的方法</w:t>
      </w:r>
      <w:r>
        <w:rPr>
          <w:rFonts w:hint="eastAsia"/>
          <w:szCs w:val="21"/>
        </w:rPr>
        <w:t>测定</w:t>
      </w:r>
      <w:r>
        <w:rPr>
          <w:rFonts w:hint="eastAsia"/>
        </w:rPr>
        <w:t>。</w:t>
      </w:r>
    </w:p>
    <w:p>
      <w:pPr>
        <w:pStyle w:val="49"/>
        <w:spacing w:before="156" w:after="156"/>
        <w:rPr>
          <w:rFonts w:hint="eastAsia"/>
        </w:rPr>
      </w:pPr>
      <w:r>
        <w:rPr>
          <w:rFonts w:hint="eastAsia"/>
          <w:lang w:eastAsia="zh-CN"/>
        </w:rPr>
        <w:t>蛋白质</w:t>
      </w:r>
    </w:p>
    <w:p>
      <w:pPr>
        <w:pStyle w:val="22"/>
        <w:rPr>
          <w:rFonts w:hint="eastAsia"/>
        </w:rPr>
      </w:pPr>
      <w:r>
        <w:rPr>
          <w:rFonts w:hint="eastAsia"/>
        </w:rPr>
        <w:t>按照GB 5009.5规定的方法</w:t>
      </w:r>
      <w:r>
        <w:rPr>
          <w:rFonts w:hint="eastAsia"/>
          <w:szCs w:val="21"/>
        </w:rPr>
        <w:t>测定，结果以干基计</w:t>
      </w:r>
      <w:r>
        <w:rPr>
          <w:rFonts w:hint="eastAsia"/>
        </w:rPr>
        <w:t>。</w:t>
      </w:r>
    </w:p>
    <w:p>
      <w:pPr>
        <w:pStyle w:val="49"/>
        <w:spacing w:before="156" w:after="156"/>
        <w:rPr>
          <w:rFonts w:ascii="宋体" w:hAnsi="宋体"/>
        </w:rPr>
      </w:pPr>
      <w:r>
        <w:t>总</w:t>
      </w:r>
      <w:r>
        <w:rPr>
          <w:rFonts w:hint="eastAsia"/>
        </w:rPr>
        <w:t>膳食纤维</w:t>
      </w:r>
    </w:p>
    <w:p>
      <w:pPr>
        <w:adjustRightInd w:val="0"/>
        <w:snapToGrid w:val="0"/>
        <w:spacing w:line="360" w:lineRule="auto"/>
        <w:ind w:firstLine="420" w:firstLineChars="200"/>
        <w:rPr>
          <w:rFonts w:hint="eastAsia"/>
        </w:rPr>
      </w:pPr>
      <w:r>
        <w:rPr>
          <w:rFonts w:hint="eastAsia" w:ascii="宋体"/>
          <w:szCs w:val="21"/>
        </w:rPr>
        <w:t>按</w:t>
      </w:r>
      <w:r>
        <w:rPr>
          <w:rFonts w:hint="eastAsia" w:ascii="宋体"/>
        </w:rPr>
        <w:t>GB 5009.88规定的方法</w:t>
      </w:r>
      <w:r>
        <w:rPr>
          <w:rFonts w:hint="eastAsia"/>
          <w:szCs w:val="21"/>
        </w:rPr>
        <w:t>测定</w:t>
      </w:r>
      <w:r>
        <w:rPr>
          <w:rFonts w:hint="eastAsia" w:ascii="宋体"/>
          <w:szCs w:val="21"/>
        </w:rPr>
        <w:t>。</w:t>
      </w:r>
    </w:p>
    <w:p>
      <w:pPr>
        <w:pStyle w:val="49"/>
        <w:spacing w:before="156" w:after="156"/>
        <w:rPr>
          <w:rFonts w:ascii="宋体" w:hAnsi="宋体"/>
        </w:rPr>
      </w:pPr>
      <w:r>
        <w:rPr>
          <w:rFonts w:hint="eastAsia"/>
        </w:rPr>
        <w:t>铅</w:t>
      </w:r>
    </w:p>
    <w:p>
      <w:pPr>
        <w:adjustRightInd w:val="0"/>
        <w:snapToGrid w:val="0"/>
        <w:spacing w:line="360" w:lineRule="auto"/>
        <w:ind w:firstLine="420" w:firstLineChars="200"/>
        <w:rPr>
          <w:rFonts w:hint="eastAsia" w:ascii="宋体"/>
          <w:szCs w:val="21"/>
        </w:rPr>
      </w:pPr>
      <w:r>
        <w:rPr>
          <w:rFonts w:hint="eastAsia" w:ascii="宋体"/>
          <w:szCs w:val="21"/>
        </w:rPr>
        <w:t>按</w:t>
      </w:r>
      <w:r>
        <w:rPr>
          <w:rFonts w:hint="eastAsia" w:ascii="宋体"/>
        </w:rPr>
        <w:t>GB 5009.12规定的方法</w:t>
      </w:r>
      <w:r>
        <w:rPr>
          <w:rFonts w:hint="eastAsia"/>
          <w:szCs w:val="21"/>
        </w:rPr>
        <w:t>测定</w:t>
      </w:r>
      <w:r>
        <w:rPr>
          <w:rFonts w:hint="eastAsia" w:ascii="宋体"/>
          <w:szCs w:val="21"/>
        </w:rPr>
        <w:t>。</w:t>
      </w:r>
    </w:p>
    <w:p>
      <w:pPr>
        <w:pStyle w:val="49"/>
        <w:spacing w:before="156" w:after="156"/>
        <w:rPr>
          <w:rFonts w:ascii="宋体" w:hAnsi="宋体"/>
        </w:rPr>
      </w:pPr>
      <w:r>
        <w:rPr>
          <w:rFonts w:hint="eastAsia"/>
        </w:rPr>
        <w:t>无机砷</w:t>
      </w:r>
    </w:p>
    <w:p>
      <w:pPr>
        <w:widowControl/>
        <w:tabs>
          <w:tab w:val="center" w:pos="4201"/>
          <w:tab w:val="right" w:leader="dot" w:pos="9298"/>
        </w:tabs>
        <w:autoSpaceDE w:val="0"/>
        <w:autoSpaceDN w:val="0"/>
        <w:ind w:firstLine="420" w:firstLineChars="200"/>
        <w:rPr>
          <w:rFonts w:hint="eastAsia" w:ascii="宋体"/>
          <w:kern w:val="0"/>
          <w:szCs w:val="21"/>
          <w:lang w:val="en-US" w:eastAsia="zh-CN"/>
        </w:rPr>
      </w:pPr>
      <w:r>
        <w:rPr>
          <w:rFonts w:hint="eastAsia" w:ascii="宋体"/>
          <w:kern w:val="0"/>
          <w:szCs w:val="21"/>
          <w:lang w:val="en-US" w:eastAsia="zh-CN"/>
        </w:rPr>
        <w:t>按</w:t>
      </w:r>
      <w:r>
        <w:rPr>
          <w:rFonts w:hint="eastAsia" w:ascii="宋体"/>
          <w:kern w:val="0"/>
          <w:szCs w:val="20"/>
          <w:lang w:val="en-US" w:eastAsia="zh-CN"/>
        </w:rPr>
        <w:t>GB 5009.11规定的方法</w:t>
      </w:r>
      <w:r>
        <w:rPr>
          <w:rFonts w:hint="eastAsia" w:ascii="宋体"/>
          <w:kern w:val="0"/>
          <w:szCs w:val="21"/>
          <w:lang w:val="en-US" w:eastAsia="zh-CN"/>
        </w:rPr>
        <w:t>测定。</w:t>
      </w:r>
    </w:p>
    <w:p>
      <w:pPr>
        <w:pStyle w:val="49"/>
        <w:spacing w:before="156" w:after="156"/>
        <w:rPr>
          <w:rFonts w:ascii="宋体" w:hAnsi="宋体"/>
        </w:rPr>
      </w:pPr>
      <w:r>
        <w:rPr>
          <w:rFonts w:hint="eastAsia"/>
        </w:rPr>
        <w:t>镉</w:t>
      </w:r>
    </w:p>
    <w:p>
      <w:pPr>
        <w:adjustRightInd w:val="0"/>
        <w:snapToGrid w:val="0"/>
        <w:spacing w:line="360" w:lineRule="auto"/>
        <w:ind w:firstLine="420" w:firstLineChars="200"/>
        <w:rPr>
          <w:rFonts w:hint="eastAsia" w:ascii="宋体"/>
          <w:szCs w:val="21"/>
        </w:rPr>
      </w:pPr>
      <w:r>
        <w:rPr>
          <w:rFonts w:hint="eastAsia" w:ascii="宋体"/>
          <w:szCs w:val="21"/>
        </w:rPr>
        <w:t>按</w:t>
      </w:r>
      <w:r>
        <w:rPr>
          <w:rFonts w:hint="eastAsia" w:ascii="宋体"/>
        </w:rPr>
        <w:t>GB</w:t>
      </w:r>
      <w:r>
        <w:rPr>
          <w:rFonts w:hint="eastAsia" w:ascii="宋体"/>
          <w:kern w:val="0"/>
          <w:szCs w:val="20"/>
          <w:lang w:val="en-US" w:eastAsia="zh-CN"/>
        </w:rPr>
        <w:t xml:space="preserve"> </w:t>
      </w:r>
      <w:r>
        <w:rPr>
          <w:rFonts w:hint="eastAsia" w:ascii="宋体"/>
        </w:rPr>
        <w:t>5009.15规定的方法</w:t>
      </w:r>
      <w:r>
        <w:rPr>
          <w:rFonts w:hint="eastAsia"/>
          <w:szCs w:val="21"/>
        </w:rPr>
        <w:t>测定</w:t>
      </w:r>
      <w:r>
        <w:rPr>
          <w:rFonts w:hint="eastAsia" w:ascii="宋体"/>
          <w:szCs w:val="21"/>
        </w:rPr>
        <w:t>。</w:t>
      </w:r>
    </w:p>
    <w:p>
      <w:pPr>
        <w:pStyle w:val="49"/>
        <w:spacing w:before="156" w:after="156"/>
        <w:rPr>
          <w:szCs w:val="18"/>
        </w:rPr>
      </w:pPr>
      <w:r>
        <w:rPr>
          <w:rFonts w:hint="eastAsia"/>
        </w:rPr>
        <w:t>黄曲霉毒素B</w:t>
      </w:r>
      <w:r>
        <w:rPr>
          <w:rFonts w:hint="eastAsia"/>
          <w:vertAlign w:val="subscript"/>
        </w:rPr>
        <w:t>1</w:t>
      </w:r>
    </w:p>
    <w:p>
      <w:pPr>
        <w:adjustRightInd w:val="0"/>
        <w:snapToGrid w:val="0"/>
        <w:spacing w:line="360" w:lineRule="auto"/>
        <w:ind w:firstLine="420" w:firstLineChars="200"/>
        <w:rPr>
          <w:rFonts w:hint="eastAsia" w:ascii="宋体"/>
          <w:szCs w:val="21"/>
        </w:rPr>
      </w:pPr>
      <w:r>
        <w:rPr>
          <w:rFonts w:hint="eastAsia" w:ascii="宋体"/>
        </w:rPr>
        <w:t>按GB5009.22 规定的方法测定。</w:t>
      </w:r>
    </w:p>
    <w:p>
      <w:pPr>
        <w:pStyle w:val="49"/>
        <w:spacing w:before="156" w:after="156"/>
        <w:rPr>
          <w:rFonts w:hint="eastAsia"/>
        </w:rPr>
      </w:pPr>
      <w:r>
        <w:rPr>
          <w:rFonts w:hint="eastAsia"/>
        </w:rPr>
        <w:t>其它真菌毒素</w:t>
      </w:r>
    </w:p>
    <w:p>
      <w:pPr>
        <w:pStyle w:val="22"/>
        <w:rPr>
          <w:rFonts w:hint="eastAsia"/>
        </w:rPr>
      </w:pPr>
      <w:r>
        <w:rPr>
          <w:rFonts w:hint="eastAsia"/>
        </w:rPr>
        <w:t>按GB 2761规定的方法测定。</w:t>
      </w:r>
    </w:p>
    <w:p>
      <w:pPr>
        <w:widowControl/>
        <w:numPr>
          <w:ilvl w:val="1"/>
          <w:numId w:val="2"/>
        </w:numPr>
        <w:spacing w:before="156" w:beforeLines="50" w:after="156" w:afterLines="50"/>
        <w:jc w:val="left"/>
        <w:outlineLvl w:val="2"/>
        <w:rPr>
          <w:rFonts w:hint="eastAsia" w:ascii="黑体" w:eastAsia="黑体"/>
          <w:kern w:val="0"/>
          <w:szCs w:val="21"/>
        </w:rPr>
      </w:pPr>
      <w:r>
        <w:rPr>
          <w:rFonts w:hint="eastAsia" w:ascii="黑体" w:eastAsia="黑体"/>
          <w:kern w:val="0"/>
          <w:szCs w:val="21"/>
        </w:rPr>
        <w:t xml:space="preserve">微生物限量 </w:t>
      </w:r>
    </w:p>
    <w:p>
      <w:pPr>
        <w:pStyle w:val="49"/>
        <w:spacing w:before="156" w:after="156"/>
        <w:jc w:val="both"/>
      </w:pPr>
      <w:bookmarkStart w:id="12" w:name="_Toc390288329"/>
      <w:r>
        <w:rPr>
          <w:rFonts w:hint="eastAsia"/>
        </w:rPr>
        <w:t>菌落总数</w:t>
      </w:r>
      <w:bookmarkEnd w:id="12"/>
    </w:p>
    <w:p>
      <w:pPr>
        <w:widowControl/>
        <w:tabs>
          <w:tab w:val="center" w:pos="4201"/>
          <w:tab w:val="right" w:leader="dot" w:pos="9298"/>
        </w:tabs>
        <w:autoSpaceDE w:val="0"/>
        <w:autoSpaceDN w:val="0"/>
        <w:ind w:firstLine="420" w:firstLineChars="200"/>
        <w:rPr>
          <w:rFonts w:hint="eastAsia" w:ascii="宋体"/>
          <w:kern w:val="0"/>
          <w:szCs w:val="20"/>
          <w:lang w:val="en-US" w:eastAsia="zh-CN"/>
        </w:rPr>
      </w:pPr>
      <w:r>
        <w:rPr>
          <w:rFonts w:hint="eastAsia" w:ascii="宋体"/>
          <w:kern w:val="0"/>
          <w:szCs w:val="20"/>
          <w:lang w:val="en-US" w:eastAsia="zh-CN"/>
        </w:rPr>
        <w:t>按GB 4789.2规定的方法检验，采样和检验后样品处理按GB 4789.1执行。</w:t>
      </w:r>
    </w:p>
    <w:p>
      <w:pPr>
        <w:pStyle w:val="49"/>
        <w:spacing w:before="156" w:after="156"/>
        <w:ind w:left="2"/>
      </w:pPr>
      <w:bookmarkStart w:id="13" w:name="_Toc390288330"/>
      <w:r>
        <w:rPr>
          <w:rFonts w:hint="eastAsia"/>
        </w:rPr>
        <w:t>大肠菌群</w:t>
      </w:r>
      <w:bookmarkEnd w:id="13"/>
    </w:p>
    <w:p>
      <w:pPr>
        <w:widowControl/>
        <w:tabs>
          <w:tab w:val="center" w:pos="4201"/>
          <w:tab w:val="right" w:leader="dot" w:pos="9298"/>
        </w:tabs>
        <w:autoSpaceDE w:val="0"/>
        <w:autoSpaceDN w:val="0"/>
        <w:ind w:firstLine="420" w:firstLineChars="200"/>
        <w:rPr>
          <w:rFonts w:hint="eastAsia" w:ascii="宋体"/>
          <w:kern w:val="0"/>
          <w:szCs w:val="20"/>
          <w:lang w:val="en-US" w:eastAsia="zh-CN"/>
        </w:rPr>
      </w:pPr>
      <w:r>
        <w:rPr>
          <w:rFonts w:hint="eastAsia" w:ascii="宋体"/>
          <w:kern w:val="0"/>
          <w:szCs w:val="20"/>
          <w:lang w:val="en-US" w:eastAsia="zh-CN"/>
        </w:rPr>
        <w:t>按GB 4789.3平板计数法规定的方法检验，采样和检验后样品处理按GB 4789.1执行。</w:t>
      </w:r>
    </w:p>
    <w:p>
      <w:pPr>
        <w:pStyle w:val="49"/>
        <w:spacing w:before="156" w:after="156"/>
        <w:ind w:left="2"/>
      </w:pPr>
      <w:r>
        <w:rPr>
          <w:rFonts w:hint="eastAsia"/>
        </w:rPr>
        <w:t>沙门氏菌</w:t>
      </w:r>
    </w:p>
    <w:p>
      <w:pPr>
        <w:widowControl/>
        <w:tabs>
          <w:tab w:val="center" w:pos="4201"/>
          <w:tab w:val="right" w:leader="dot" w:pos="9298"/>
        </w:tabs>
        <w:autoSpaceDE w:val="0"/>
        <w:autoSpaceDN w:val="0"/>
        <w:ind w:firstLine="420" w:firstLineChars="200"/>
        <w:rPr>
          <w:rFonts w:hint="eastAsia" w:ascii="宋体"/>
          <w:kern w:val="0"/>
          <w:szCs w:val="20"/>
          <w:lang w:val="en-US" w:eastAsia="zh-CN"/>
        </w:rPr>
      </w:pPr>
      <w:r>
        <w:rPr>
          <w:rFonts w:hint="eastAsia" w:ascii="宋体"/>
          <w:kern w:val="0"/>
          <w:szCs w:val="20"/>
          <w:lang w:val="en-US" w:eastAsia="zh-CN"/>
        </w:rPr>
        <w:t>按GB 4789.4规定的方法检验，采样和检验后样品处理按GB 4789.1执行。</w:t>
      </w:r>
    </w:p>
    <w:p>
      <w:pPr>
        <w:pStyle w:val="49"/>
        <w:spacing w:before="156" w:after="156"/>
      </w:pPr>
      <w:r>
        <w:rPr>
          <w:rFonts w:hint="eastAsia"/>
        </w:rPr>
        <w:t>金黄色葡萄球菌</w:t>
      </w:r>
    </w:p>
    <w:p>
      <w:pPr>
        <w:widowControl/>
        <w:tabs>
          <w:tab w:val="center" w:pos="4201"/>
          <w:tab w:val="right" w:leader="dot" w:pos="9298"/>
        </w:tabs>
        <w:autoSpaceDE w:val="0"/>
        <w:autoSpaceDN w:val="0"/>
        <w:ind w:firstLine="420" w:firstLineChars="200"/>
        <w:rPr>
          <w:rFonts w:hint="eastAsia" w:ascii="宋体"/>
          <w:kern w:val="0"/>
          <w:szCs w:val="20"/>
          <w:lang w:val="en-US" w:eastAsia="zh-CN"/>
        </w:rPr>
      </w:pPr>
      <w:r>
        <w:rPr>
          <w:rFonts w:hint="eastAsia" w:ascii="宋体"/>
          <w:kern w:val="0"/>
          <w:szCs w:val="20"/>
          <w:lang w:val="en-US" w:eastAsia="zh-CN"/>
        </w:rPr>
        <w:t>按GB 4789.10平板计数法规定的方法检验，采样和检验后样品处理按GB 4789.1执行。</w:t>
      </w:r>
    </w:p>
    <w:p>
      <w:pPr>
        <w:widowControl/>
        <w:numPr>
          <w:ilvl w:val="0"/>
          <w:numId w:val="2"/>
        </w:numPr>
        <w:spacing w:before="312" w:beforeLines="100" w:after="312" w:afterLines="100"/>
        <w:outlineLvl w:val="1"/>
        <w:rPr>
          <w:rFonts w:hint="eastAsia" w:ascii="黑体" w:eastAsia="黑体"/>
          <w:kern w:val="0"/>
          <w:szCs w:val="20"/>
        </w:rPr>
      </w:pPr>
      <w:bookmarkStart w:id="14" w:name="_Toc390288333"/>
      <w:r>
        <w:rPr>
          <w:rFonts w:hint="eastAsia" w:ascii="黑体" w:eastAsia="黑体"/>
          <w:kern w:val="0"/>
          <w:szCs w:val="20"/>
        </w:rPr>
        <w:t>检验规则</w:t>
      </w:r>
      <w:bookmarkEnd w:id="14"/>
    </w:p>
    <w:p>
      <w:pPr>
        <w:widowControl/>
        <w:numPr>
          <w:ilvl w:val="1"/>
          <w:numId w:val="2"/>
        </w:numPr>
        <w:spacing w:before="156" w:beforeLines="50" w:after="156" w:afterLines="50"/>
        <w:jc w:val="left"/>
        <w:outlineLvl w:val="2"/>
        <w:rPr>
          <w:rFonts w:hint="eastAsia" w:ascii="黑体" w:eastAsia="黑体"/>
          <w:kern w:val="0"/>
          <w:szCs w:val="21"/>
        </w:rPr>
      </w:pPr>
      <w:bookmarkStart w:id="15" w:name="_Toc390288334"/>
      <w:r>
        <w:rPr>
          <w:rFonts w:hint="eastAsia" w:ascii="黑体" w:eastAsia="黑体"/>
          <w:kern w:val="0"/>
          <w:szCs w:val="21"/>
        </w:rPr>
        <w:t>组批</w:t>
      </w:r>
      <w:bookmarkEnd w:id="15"/>
    </w:p>
    <w:p>
      <w:pPr>
        <w:ind w:firstLine="420" w:firstLineChars="200"/>
        <w:rPr>
          <w:rFonts w:hint="eastAsia" w:ascii="宋体"/>
          <w:szCs w:val="21"/>
        </w:rPr>
      </w:pPr>
      <w:r>
        <w:rPr>
          <w:rFonts w:hint="eastAsia" w:ascii="宋体"/>
          <w:szCs w:val="21"/>
        </w:rPr>
        <w:t>以同一批次原料、同一工艺配方、同一生产线在同一生产日期加工的同一包装规格的产品为一组批。</w:t>
      </w:r>
    </w:p>
    <w:p>
      <w:pPr>
        <w:pStyle w:val="48"/>
        <w:rPr>
          <w:rFonts w:hint="eastAsia"/>
        </w:rPr>
      </w:pPr>
      <w:r>
        <w:rPr>
          <w:rFonts w:hint="eastAsia"/>
        </w:rPr>
        <w:t>抽样</w:t>
      </w:r>
    </w:p>
    <w:p>
      <w:pPr>
        <w:pStyle w:val="109"/>
        <w:numPr>
          <w:ilvl w:val="0"/>
          <w:numId w:val="0"/>
        </w:numPr>
        <w:ind w:left="0" w:firstLine="420" w:firstLineChars="200"/>
        <w:rPr>
          <w:rFonts w:hint="eastAsia"/>
        </w:rPr>
      </w:pPr>
      <w:r>
        <w:rPr>
          <w:rFonts w:hint="eastAsia"/>
        </w:rPr>
        <w:t>按</w:t>
      </w:r>
      <w:r>
        <w:rPr>
          <w:rFonts w:hint="eastAsia"/>
          <w:lang w:eastAsia="zh-CN"/>
        </w:rPr>
        <w:t>同一</w:t>
      </w:r>
      <w:r>
        <w:rPr>
          <w:rFonts w:hint="eastAsia"/>
        </w:rPr>
        <w:t>生产批次及</w:t>
      </w:r>
      <w:r>
        <w:rPr>
          <w:rFonts w:hint="eastAsia"/>
          <w:lang w:eastAsia="zh-CN"/>
        </w:rPr>
        <w:t>产品</w:t>
      </w:r>
      <w:r>
        <w:rPr>
          <w:rFonts w:hint="eastAsia"/>
        </w:rPr>
        <w:t>数量比例随机抽样，抽样数量应满足检验要求。</w:t>
      </w:r>
    </w:p>
    <w:p>
      <w:pPr>
        <w:pStyle w:val="48"/>
        <w:rPr>
          <w:rFonts w:hint="eastAsia"/>
        </w:rPr>
      </w:pPr>
      <w:r>
        <w:rPr>
          <w:rFonts w:hint="eastAsia"/>
        </w:rPr>
        <w:t>判定规则</w:t>
      </w:r>
    </w:p>
    <w:p>
      <w:pPr>
        <w:pStyle w:val="109"/>
        <w:rPr>
          <w:rFonts w:hint="eastAsia"/>
        </w:rPr>
      </w:pPr>
      <w:r>
        <w:rPr>
          <w:rFonts w:hint="eastAsia"/>
        </w:rPr>
        <w:t>检验结果全部</w:t>
      </w:r>
      <w:r>
        <w:rPr>
          <w:rFonts w:hint="eastAsia"/>
          <w:lang w:eastAsia="zh-CN"/>
        </w:rPr>
        <w:t>项目</w:t>
      </w:r>
      <w:r>
        <w:rPr>
          <w:rFonts w:hint="eastAsia"/>
        </w:rPr>
        <w:t>符合本</w:t>
      </w:r>
      <w:r>
        <w:rPr>
          <w:rFonts w:hint="eastAsia"/>
          <w:lang w:eastAsia="zh-CN"/>
        </w:rPr>
        <w:t>文件规定</w:t>
      </w:r>
      <w:r>
        <w:rPr>
          <w:rFonts w:hint="eastAsia"/>
        </w:rPr>
        <w:t>时，判定该批产品合格</w:t>
      </w:r>
      <w:r>
        <w:rPr>
          <w:rFonts w:hint="eastAsia"/>
          <w:lang w:eastAsia="zh-CN"/>
        </w:rPr>
        <w:t>。</w:t>
      </w:r>
    </w:p>
    <w:p>
      <w:pPr>
        <w:pStyle w:val="109"/>
        <w:rPr>
          <w:rFonts w:hint="eastAsia"/>
        </w:rPr>
      </w:pPr>
      <w:r>
        <w:rPr>
          <w:rFonts w:hint="eastAsia"/>
        </w:rPr>
        <w:t>检验结果中微生物指标</w:t>
      </w:r>
      <w:r>
        <w:rPr>
          <w:rFonts w:hint="eastAsia"/>
          <w:lang w:eastAsia="zh-CN"/>
        </w:rPr>
        <w:t>有一项或一项以上</w:t>
      </w:r>
      <w:r>
        <w:rPr>
          <w:rFonts w:hint="eastAsia"/>
        </w:rPr>
        <w:t>不符合本</w:t>
      </w:r>
      <w:r>
        <w:rPr>
          <w:rFonts w:hint="eastAsia"/>
          <w:lang w:eastAsia="zh-CN"/>
        </w:rPr>
        <w:t>文件</w:t>
      </w:r>
      <w:r>
        <w:rPr>
          <w:rFonts w:hint="eastAsia"/>
        </w:rPr>
        <w:t>规定时，判该批产品不合格，不得复检</w:t>
      </w:r>
      <w:r>
        <w:rPr>
          <w:rFonts w:hint="eastAsia"/>
          <w:lang w:eastAsia="zh-CN"/>
        </w:rPr>
        <w:t>。</w:t>
      </w:r>
    </w:p>
    <w:p>
      <w:pPr>
        <w:pStyle w:val="109"/>
        <w:rPr>
          <w:rFonts w:hint="eastAsia"/>
        </w:rPr>
      </w:pPr>
      <w:r>
        <w:rPr>
          <w:rFonts w:hint="eastAsia"/>
        </w:rPr>
        <w:t>检验结果中除微生物指标外，其他项目不符合本文件规定时，允许按相关规定进行复检</w:t>
      </w:r>
      <w:r>
        <w:rPr>
          <w:rFonts w:hint="eastAsia"/>
          <w:lang w:eastAsia="zh-CN"/>
        </w:rPr>
        <w:t>。</w:t>
      </w:r>
    </w:p>
    <w:p>
      <w:pPr>
        <w:pStyle w:val="109"/>
        <w:rPr>
          <w:rFonts w:hint="eastAsia"/>
        </w:rPr>
      </w:pPr>
      <w:r>
        <w:rPr>
          <w:rFonts w:hint="eastAsia"/>
          <w:lang w:eastAsia="zh-CN"/>
        </w:rPr>
        <w:t>菌落总数</w:t>
      </w:r>
      <w:r>
        <w:rPr>
          <w:lang w:eastAsia="zh-CN"/>
        </w:rPr>
        <w:t>检验时间</w:t>
      </w:r>
      <w:r>
        <w:rPr>
          <w:rFonts w:hint="eastAsia"/>
          <w:lang w:eastAsia="zh-CN"/>
        </w:rPr>
        <w:t>从企业标示的出厂时间到检验时间不应超过4个小时。</w:t>
      </w:r>
    </w:p>
    <w:p>
      <w:pPr>
        <w:widowControl/>
        <w:numPr>
          <w:ilvl w:val="0"/>
          <w:numId w:val="2"/>
        </w:numPr>
        <w:spacing w:before="312" w:beforeLines="100" w:after="312" w:afterLines="100"/>
        <w:outlineLvl w:val="1"/>
        <w:rPr>
          <w:rFonts w:hint="eastAsia" w:ascii="黑体" w:eastAsia="黑体"/>
          <w:kern w:val="0"/>
          <w:szCs w:val="20"/>
        </w:rPr>
      </w:pPr>
      <w:bookmarkStart w:id="16" w:name="_Toc390288339"/>
      <w:r>
        <w:rPr>
          <w:rFonts w:hint="eastAsia" w:ascii="黑体" w:eastAsia="黑体"/>
          <w:kern w:val="0"/>
          <w:szCs w:val="20"/>
          <w:lang w:val="en-US" w:eastAsia="zh-CN"/>
        </w:rPr>
        <w:t>标签、标志、包装、运输、贮存、销售和保质期</w:t>
      </w:r>
      <w:bookmarkEnd w:id="16"/>
    </w:p>
    <w:p>
      <w:pPr>
        <w:widowControl/>
        <w:numPr>
          <w:ilvl w:val="1"/>
          <w:numId w:val="2"/>
        </w:numPr>
        <w:spacing w:before="156" w:beforeLines="50" w:after="156" w:afterLines="50"/>
        <w:jc w:val="left"/>
        <w:outlineLvl w:val="2"/>
        <w:rPr>
          <w:rFonts w:hint="eastAsia" w:ascii="黑体" w:eastAsia="黑体"/>
          <w:kern w:val="0"/>
          <w:szCs w:val="21"/>
        </w:rPr>
      </w:pPr>
      <w:bookmarkStart w:id="17" w:name="_Toc390288340"/>
      <w:r>
        <w:rPr>
          <w:rFonts w:hint="eastAsia" w:ascii="黑体" w:eastAsia="黑体"/>
          <w:kern w:val="0"/>
          <w:szCs w:val="21"/>
        </w:rPr>
        <w:t>标签</w:t>
      </w:r>
      <w:bookmarkEnd w:id="17"/>
    </w:p>
    <w:p>
      <w:pPr>
        <w:pStyle w:val="109"/>
      </w:pPr>
      <w:r>
        <w:rPr>
          <w:rFonts w:hint="eastAsia"/>
        </w:rPr>
        <w:t>应符合</w:t>
      </w:r>
      <w:r>
        <w:t>G</w:t>
      </w:r>
      <w:r>
        <w:rPr>
          <w:lang w:eastAsia="zh-CN"/>
        </w:rPr>
        <w:t>B</w:t>
      </w:r>
      <w:r>
        <w:t xml:space="preserve"> 7718 </w:t>
      </w:r>
      <w:r>
        <w:rPr>
          <w:rFonts w:hint="eastAsia"/>
        </w:rPr>
        <w:t>和</w:t>
      </w:r>
      <w:r>
        <w:t>GB 28050</w:t>
      </w:r>
      <w:r>
        <w:rPr>
          <w:rFonts w:hint="eastAsia"/>
        </w:rPr>
        <w:t>的规定。</w:t>
      </w:r>
    </w:p>
    <w:p>
      <w:pPr>
        <w:pStyle w:val="109"/>
        <w:rPr>
          <w:rFonts w:ascii="Monospace" w:hAnsi="Monospace" w:eastAsia="Monospace" w:cs="Monospace"/>
          <w:sz w:val="26"/>
          <w:szCs w:val="26"/>
          <w:lang w:val="en-US" w:eastAsia="en-US" w:bidi="ar-SA"/>
        </w:rPr>
      </w:pPr>
      <w:bookmarkStart w:id="18" w:name="_Toc390288341"/>
      <w:r>
        <w:rPr>
          <w:rFonts w:hint="eastAsia"/>
          <w:lang w:eastAsia="zh-CN"/>
        </w:rPr>
        <w:t>应在标签醒目</w:t>
      </w:r>
      <w:r>
        <w:rPr>
          <w:rFonts w:hint="eastAsia"/>
        </w:rPr>
        <w:t>位置</w:t>
      </w:r>
      <w:r>
        <w:rPr>
          <w:rFonts w:hint="eastAsia" w:ascii="宋体"/>
          <w:kern w:val="0"/>
          <w:szCs w:val="21"/>
        </w:rPr>
        <w:t>，</w:t>
      </w:r>
      <w:r>
        <w:rPr>
          <w:rFonts w:hint="eastAsia" w:ascii="宋体" w:cs="Monospace"/>
          <w:kern w:val="0"/>
          <w:szCs w:val="21"/>
          <w:lang w:bidi="ar-SA"/>
        </w:rPr>
        <w:t>清晰地标示反映产品真实属性的食品名称</w:t>
      </w:r>
      <w:r>
        <w:rPr>
          <w:rFonts w:hint="eastAsia" w:ascii="宋体"/>
          <w:kern w:val="0"/>
          <w:szCs w:val="21"/>
        </w:rPr>
        <w:t>，</w:t>
      </w:r>
      <w:r>
        <w:rPr>
          <w:rFonts w:hint="eastAsia"/>
          <w:lang w:val="en-US" w:eastAsia="zh-CN"/>
        </w:rPr>
        <w:t>食品</w:t>
      </w:r>
      <w:r>
        <w:rPr>
          <w:rFonts w:hint="eastAsia"/>
          <w:lang w:eastAsia="zh-CN"/>
        </w:rPr>
        <w:t>名称的字体大小、字体颜色应一致并且符合相关规定。</w:t>
      </w:r>
    </w:p>
    <w:p>
      <w:pPr>
        <w:pStyle w:val="109"/>
        <w:rPr>
          <w:rFonts w:hint="eastAsia"/>
        </w:rPr>
      </w:pPr>
      <w:r>
        <w:rPr>
          <w:rFonts w:hint="eastAsia"/>
        </w:rPr>
        <w:t>保质期在24小时内的</w:t>
      </w:r>
      <w:r>
        <w:rPr>
          <w:rFonts w:hint="eastAsia"/>
          <w:lang w:eastAsia="zh-CN"/>
        </w:rPr>
        <w:t>产品标签</w:t>
      </w:r>
      <w:r>
        <w:rPr>
          <w:rFonts w:hint="eastAsia"/>
        </w:rPr>
        <w:t>应标</w:t>
      </w:r>
      <w:r>
        <w:rPr>
          <w:rFonts w:hint="eastAsia"/>
          <w:lang w:eastAsia="zh-CN"/>
        </w:rPr>
        <w:t>示</w:t>
      </w:r>
      <w:r>
        <w:rPr>
          <w:rFonts w:hint="eastAsia"/>
        </w:rPr>
        <w:t>生产时间年月日时（例：20</w:t>
      </w:r>
      <w:r>
        <w:rPr>
          <w:rFonts w:hint="eastAsia"/>
          <w:lang w:eastAsia="zh-CN"/>
        </w:rPr>
        <w:t>21</w:t>
      </w:r>
      <w:r>
        <w:rPr>
          <w:rFonts w:hint="eastAsia"/>
        </w:rPr>
        <w:t>年</w:t>
      </w:r>
      <w:r>
        <w:rPr>
          <w:rFonts w:hint="eastAsia"/>
          <w:lang w:eastAsia="zh-CN"/>
        </w:rPr>
        <w:t>01</w:t>
      </w:r>
      <w:r>
        <w:rPr>
          <w:rFonts w:hint="eastAsia"/>
        </w:rPr>
        <w:t>月24日</w:t>
      </w:r>
      <w:r>
        <w:rPr>
          <w:rFonts w:hint="eastAsia"/>
          <w:lang w:eastAsia="zh-CN"/>
        </w:rPr>
        <w:t>0</w:t>
      </w:r>
      <w:r>
        <w:rPr>
          <w:rFonts w:hint="eastAsia"/>
        </w:rPr>
        <w:t>3时）。</w:t>
      </w:r>
    </w:p>
    <w:p>
      <w:pPr>
        <w:widowControl/>
        <w:numPr>
          <w:ilvl w:val="1"/>
          <w:numId w:val="2"/>
        </w:numPr>
        <w:spacing w:before="156" w:beforeLines="50" w:after="156" w:afterLines="50"/>
        <w:jc w:val="left"/>
        <w:outlineLvl w:val="2"/>
        <w:rPr>
          <w:rFonts w:hint="eastAsia" w:ascii="黑体" w:eastAsia="黑体"/>
          <w:kern w:val="0"/>
          <w:szCs w:val="21"/>
        </w:rPr>
      </w:pPr>
      <w:r>
        <w:rPr>
          <w:rFonts w:hint="eastAsia" w:ascii="黑体" w:eastAsia="黑体"/>
          <w:kern w:val="0"/>
          <w:szCs w:val="21"/>
        </w:rPr>
        <w:t>标志</w:t>
      </w:r>
    </w:p>
    <w:p>
      <w:pPr>
        <w:pStyle w:val="109"/>
        <w:numPr>
          <w:ilvl w:val="0"/>
          <w:numId w:val="0"/>
        </w:numPr>
        <w:spacing w:before="156" w:beforeLines="50" w:after="156" w:afterLines="50"/>
        <w:ind w:left="0" w:firstLine="420" w:firstLineChars="200"/>
        <w:outlineLvl w:val="2"/>
        <w:rPr>
          <w:rFonts w:hint="eastAsia"/>
        </w:rPr>
      </w:pPr>
      <w:r>
        <w:rPr>
          <w:rFonts w:hint="eastAsia"/>
        </w:rPr>
        <w:t>产品运输包装贮运图示标志应符合GB/T 191及国家有关规定。</w:t>
      </w:r>
    </w:p>
    <w:p>
      <w:pPr>
        <w:widowControl/>
        <w:numPr>
          <w:ilvl w:val="1"/>
          <w:numId w:val="2"/>
        </w:numPr>
        <w:spacing w:before="156" w:beforeLines="50" w:after="156" w:afterLines="50"/>
        <w:jc w:val="left"/>
        <w:outlineLvl w:val="2"/>
        <w:rPr>
          <w:rFonts w:hint="eastAsia" w:ascii="黑体" w:eastAsia="黑体"/>
          <w:kern w:val="0"/>
          <w:szCs w:val="21"/>
        </w:rPr>
      </w:pPr>
      <w:r>
        <w:rPr>
          <w:rFonts w:hint="eastAsia" w:ascii="黑体" w:eastAsia="黑体"/>
          <w:kern w:val="0"/>
          <w:szCs w:val="21"/>
        </w:rPr>
        <w:t>包装</w:t>
      </w:r>
      <w:bookmarkEnd w:id="18"/>
    </w:p>
    <w:p>
      <w:pPr>
        <w:pStyle w:val="109"/>
        <w:rPr>
          <w:rFonts w:hint="eastAsia"/>
        </w:rPr>
      </w:pPr>
      <w:r>
        <w:rPr>
          <w:rFonts w:hint="eastAsia"/>
        </w:rPr>
        <w:t>产品包装材料或容器应符合相关食品安全标准及有关规定，内包装</w:t>
      </w:r>
      <w:r>
        <w:rPr>
          <w:rFonts w:hint="eastAsia"/>
          <w:lang w:eastAsia="zh-CN"/>
        </w:rPr>
        <w:t>材料</w:t>
      </w:r>
      <w:r>
        <w:rPr>
          <w:rFonts w:hint="eastAsia"/>
        </w:rPr>
        <w:t>不</w:t>
      </w:r>
      <w:r>
        <w:rPr>
          <w:rFonts w:hint="eastAsia"/>
          <w:lang w:eastAsia="zh-CN"/>
        </w:rPr>
        <w:t>应</w:t>
      </w:r>
      <w:r>
        <w:rPr>
          <w:rFonts w:hint="eastAsia"/>
        </w:rPr>
        <w:t>重复使用。</w:t>
      </w:r>
    </w:p>
    <w:p>
      <w:pPr>
        <w:pStyle w:val="109"/>
        <w:rPr>
          <w:rFonts w:hint="eastAsia"/>
          <w:color w:val="000000"/>
        </w:rPr>
      </w:pPr>
      <w:r>
        <w:rPr>
          <w:rFonts w:hint="eastAsia"/>
          <w:color w:val="000000"/>
        </w:rPr>
        <w:t>产品包装应在环境温度不超过26</w:t>
      </w:r>
      <w:r>
        <w:rPr>
          <w:rFonts w:hint="eastAsia" w:cs="宋体"/>
          <w:color w:val="000000"/>
          <w:lang w:bidi="ar-SA"/>
        </w:rPr>
        <w:t>℃</w:t>
      </w:r>
      <w:r>
        <w:rPr>
          <w:rFonts w:hint="eastAsia"/>
          <w:color w:val="000000"/>
        </w:rPr>
        <w:t>的条件下进行。</w:t>
      </w:r>
    </w:p>
    <w:p>
      <w:pPr>
        <w:pStyle w:val="109"/>
        <w:rPr>
          <w:rFonts w:hint="eastAsia"/>
        </w:rPr>
      </w:pPr>
      <w:r>
        <w:rPr>
          <w:rFonts w:hint="eastAsia"/>
        </w:rPr>
        <w:t>净含量按照国家相关规定执行。</w:t>
      </w:r>
    </w:p>
    <w:p>
      <w:pPr>
        <w:widowControl/>
        <w:numPr>
          <w:ilvl w:val="1"/>
          <w:numId w:val="2"/>
        </w:numPr>
        <w:spacing w:before="156" w:beforeLines="50" w:after="156" w:afterLines="50"/>
        <w:jc w:val="left"/>
        <w:outlineLvl w:val="2"/>
        <w:rPr>
          <w:rFonts w:hint="eastAsia" w:ascii="黑体" w:eastAsia="黑体"/>
          <w:kern w:val="0"/>
          <w:szCs w:val="21"/>
        </w:rPr>
      </w:pPr>
      <w:bookmarkStart w:id="19" w:name="_Toc390288342"/>
      <w:r>
        <w:rPr>
          <w:rFonts w:hint="eastAsia" w:ascii="黑体" w:eastAsia="黑体"/>
          <w:kern w:val="0"/>
          <w:szCs w:val="21"/>
        </w:rPr>
        <w:t>运输</w:t>
      </w:r>
      <w:bookmarkEnd w:id="19"/>
    </w:p>
    <w:p>
      <w:pPr>
        <w:pStyle w:val="109"/>
        <w:rPr>
          <w:rFonts w:hint="eastAsia"/>
        </w:rPr>
      </w:pPr>
      <w:bookmarkStart w:id="20" w:name="_Toc390288343"/>
      <w:r>
        <w:rPr>
          <w:rFonts w:hint="eastAsia"/>
        </w:rPr>
        <w:t>运输工具应清洁卫生、无异味、无污染。</w:t>
      </w:r>
    </w:p>
    <w:p>
      <w:pPr>
        <w:pStyle w:val="109"/>
        <w:rPr>
          <w:lang w:eastAsia="zh-CN"/>
        </w:rPr>
      </w:pPr>
      <w:r>
        <w:rPr>
          <w:rFonts w:hint="eastAsia"/>
          <w:lang w:eastAsia="zh-CN"/>
        </w:rPr>
        <w:t>运输时应采用26</w:t>
      </w:r>
      <w:r>
        <w:rPr>
          <w:rFonts w:hint="eastAsia"/>
        </w:rPr>
        <w:t>℃</w:t>
      </w:r>
      <w:r>
        <w:rPr>
          <w:rFonts w:hint="eastAsia"/>
          <w:lang w:eastAsia="zh-CN"/>
        </w:rPr>
        <w:t>以下控温运输。</w:t>
      </w:r>
    </w:p>
    <w:p>
      <w:pPr>
        <w:pStyle w:val="109"/>
        <w:rPr>
          <w:rFonts w:hint="eastAsia"/>
        </w:rPr>
      </w:pPr>
      <w:r>
        <w:rPr>
          <w:rFonts w:hint="eastAsia"/>
          <w:lang w:eastAsia="zh-CN"/>
        </w:rPr>
        <w:t>运输过程中应防挤压、</w:t>
      </w:r>
      <w:r>
        <w:rPr>
          <w:rFonts w:hint="eastAsia"/>
        </w:rPr>
        <w:t>防雨、防潮、防晒，装卸时应轻搬、轻放。运输时不</w:t>
      </w:r>
      <w:r>
        <w:rPr>
          <w:rFonts w:hint="eastAsia"/>
          <w:lang w:eastAsia="zh-CN"/>
        </w:rPr>
        <w:t>应</w:t>
      </w:r>
      <w:r>
        <w:rPr>
          <w:rFonts w:hint="eastAsia"/>
        </w:rPr>
        <w:t>与有毒、有异味、有腐蚀性、易污染的货物混装混运。</w:t>
      </w:r>
    </w:p>
    <w:p>
      <w:pPr>
        <w:widowControl/>
        <w:numPr>
          <w:ilvl w:val="1"/>
          <w:numId w:val="2"/>
        </w:numPr>
        <w:spacing w:before="156" w:beforeLines="50" w:after="156" w:afterLines="50"/>
        <w:jc w:val="left"/>
        <w:outlineLvl w:val="2"/>
        <w:rPr>
          <w:rFonts w:hint="eastAsia" w:ascii="黑体" w:eastAsia="黑体"/>
          <w:kern w:val="0"/>
          <w:szCs w:val="21"/>
        </w:rPr>
      </w:pPr>
      <w:r>
        <w:rPr>
          <w:rFonts w:hint="eastAsia" w:ascii="黑体" w:eastAsia="黑体"/>
          <w:kern w:val="0"/>
          <w:szCs w:val="21"/>
        </w:rPr>
        <w:t>贮存</w:t>
      </w:r>
      <w:bookmarkEnd w:id="20"/>
      <w:r>
        <w:rPr>
          <w:rFonts w:hint="eastAsia" w:ascii="黑体" w:eastAsia="黑体"/>
          <w:kern w:val="0"/>
          <w:szCs w:val="21"/>
        </w:rPr>
        <w:t>及销售</w:t>
      </w:r>
    </w:p>
    <w:p>
      <w:pPr>
        <w:pStyle w:val="109"/>
      </w:pPr>
      <w:bookmarkStart w:id="21" w:name="_Toc390288344"/>
      <w:r>
        <w:rPr>
          <w:rFonts w:hint="eastAsia"/>
        </w:rPr>
        <w:t>原料、辅料、半成品、成品应分开放置，应贮存在清洁、卫生、阴凉、干燥、通风、无异味的库房内。</w:t>
      </w:r>
    </w:p>
    <w:p>
      <w:pPr>
        <w:pStyle w:val="109"/>
        <w:rPr>
          <w:rFonts w:hint="eastAsia"/>
        </w:rPr>
      </w:pPr>
      <w:r>
        <w:rPr>
          <w:rFonts w:hint="eastAsia"/>
        </w:rPr>
        <w:t>成品应单独存放在环境温度不超过26℃的库房中，应离地、离墙，不</w:t>
      </w:r>
      <w:r>
        <w:rPr>
          <w:rFonts w:hint="eastAsia"/>
          <w:lang w:eastAsia="zh-CN"/>
        </w:rPr>
        <w:t>应</w:t>
      </w:r>
      <w:r>
        <w:rPr>
          <w:rFonts w:hint="eastAsia"/>
        </w:rPr>
        <w:t>与有毒、有害、有异味、有腐蚀性的物品同处贮存。</w:t>
      </w:r>
    </w:p>
    <w:p>
      <w:pPr>
        <w:pStyle w:val="109"/>
      </w:pPr>
      <w:r>
        <w:rPr>
          <w:rFonts w:hint="eastAsia"/>
        </w:rPr>
        <w:t>销售环境温度不应超过26℃</w:t>
      </w:r>
      <w:r>
        <w:rPr>
          <w:rFonts w:hint="eastAsia"/>
          <w:lang w:eastAsia="zh-CN"/>
        </w:rPr>
        <w:t>。</w:t>
      </w:r>
    </w:p>
    <w:bookmarkEnd w:id="21"/>
    <w:p>
      <w:pPr>
        <w:widowControl/>
        <w:numPr>
          <w:ilvl w:val="1"/>
          <w:numId w:val="2"/>
        </w:numPr>
        <w:spacing w:before="156" w:beforeLines="50" w:after="156" w:afterLines="50"/>
        <w:jc w:val="left"/>
        <w:outlineLvl w:val="2"/>
        <w:rPr>
          <w:rFonts w:hint="eastAsia" w:ascii="黑体" w:eastAsia="黑体"/>
          <w:kern w:val="0"/>
          <w:szCs w:val="21"/>
        </w:rPr>
      </w:pPr>
      <w:r>
        <w:rPr>
          <w:rFonts w:hint="eastAsia" w:ascii="黑体" w:eastAsia="黑体"/>
          <w:kern w:val="0"/>
          <w:szCs w:val="21"/>
        </w:rPr>
        <w:t>保质期</w:t>
      </w:r>
    </w:p>
    <w:p>
      <w:pPr>
        <w:widowControl/>
        <w:spacing w:before="156" w:beforeLines="50" w:after="156" w:afterLines="50"/>
        <w:ind w:firstLine="525" w:firstLineChars="250"/>
        <w:jc w:val="left"/>
        <w:outlineLvl w:val="2"/>
        <w:rPr>
          <w:rFonts w:hint="eastAsia"/>
        </w:rPr>
      </w:pPr>
      <w:r>
        <w:rPr>
          <w:rFonts w:hint="eastAsia" w:ascii="宋体"/>
          <w:kern w:val="0"/>
          <w:szCs w:val="21"/>
        </w:rPr>
        <w:t>企业可以根据自身产品质量状况确定保质期。</w:t>
      </w:r>
    </w:p>
    <w:p>
      <w:pPr>
        <w:pStyle w:val="128"/>
        <w:framePr w:w="3471" w:wrap="around" w:vAnchor="text" w:hAnchor="page" w:x="4568" w:y="212"/>
        <w:rPr>
          <w:rFonts w:hint="eastAsia"/>
        </w:rPr>
      </w:pPr>
      <w:r>
        <w:t>_________________________________</w:t>
      </w:r>
    </w:p>
    <w:p>
      <w:pPr>
        <w:pStyle w:val="102"/>
        <w:numPr>
          <w:ilvl w:val="0"/>
          <w:numId w:val="0"/>
        </w:numPr>
        <w:ind w:left="363"/>
        <w:jc w:val="both"/>
        <w:rPr>
          <w:rFonts w:hint="eastAsia"/>
          <w:color w:val="auto"/>
        </w:rPr>
      </w:pP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dobeHeitiStd-Regular">
    <w:altName w:val="黑体"/>
    <w:panose1 w:val="00000000000000000000"/>
    <w:charset w:val="86"/>
    <w:family w:val="auto"/>
    <w:pitch w:val="default"/>
    <w:sig w:usb0="00000000" w:usb1="00000000" w:usb2="00000010" w:usb3="00000000" w:csb0="00040000" w:csb1="00000000"/>
  </w:font>
  <w:font w:name="Monospace">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pPr>
    <w:r>
      <w:fldChar w:fldCharType="begin"/>
    </w:r>
    <w:r>
      <w:instrText xml:space="preserve"> PAGE  \* MERGEFORMAT </w:instrText>
    </w:r>
    <w:r>
      <w:fldChar w:fldCharType="separate"/>
    </w:r>
    <w:r>
      <w:rPr>
        <w:lang w:val="en-US" w:eastAsia="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Fonts w:hint="eastAsia"/>
      </w:rPr>
    </w:pPr>
    <w:r>
      <w:t>DB</w:t>
    </w:r>
    <w:r>
      <w:rPr>
        <w:rFonts w:hint="eastAsia"/>
      </w:rPr>
      <w:t xml:space="preserve">S </w:t>
    </w:r>
    <w:r>
      <w:t>45/</w:t>
    </w:r>
    <w:r>
      <w:rPr>
        <w:rFonts w:hint="eastAsia"/>
      </w:rPr>
      <w:t>050</w:t>
    </w:r>
    <w:r>
      <w:t>—20</w:t>
    </w:r>
    <w:r>
      <w:rPr>
        <w:rFonts w:hint="eastAsia"/>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01"/>
      <w:suff w:val="nothing"/>
      <w:lvlText w:val="注%1："/>
      <w:lvlJc w:val="left"/>
      <w:pPr>
        <w:tabs>
          <w:tab w:val="left" w:pos="0"/>
        </w:tabs>
        <w:ind w:left="811" w:hanging="448"/>
      </w:pPr>
      <w:rPr>
        <w:rFonts w:hint="eastAsia" w:ascii="黑体" w:hAns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92"/>
      <w:suff w:val="nothing"/>
      <w:lvlText w:val="示例%1："/>
      <w:lvlJc w:val="left"/>
      <w:pPr>
        <w:tabs>
          <w:tab w:val="left" w:pos="0"/>
        </w:tabs>
        <w:ind w:left="0" w:firstLine="397"/>
      </w:pPr>
      <w:rPr>
        <w:rFonts w:hint="eastAsia" w:ascii="黑体" w:hAnsi="黑体" w:eastAsia="黑体"/>
        <w:sz w:val="18"/>
      </w:rPr>
    </w:lvl>
    <w:lvl w:ilvl="1" w:tentative="0">
      <w:start w:val="1"/>
      <w:numFmt w:val="lowerLetter"/>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rPr>
        <w:rFonts w:hint="eastAsia"/>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abstractNum w:abstractNumId="2">
    <w:nsid w:val="0AE367E9"/>
    <w:multiLevelType w:val="multilevel"/>
    <w:tmpl w:val="0AE367E9"/>
    <w:lvl w:ilvl="0" w:tentative="0">
      <w:start w:val="1"/>
      <w:numFmt w:val="none"/>
      <w:pStyle w:val="84"/>
      <w:suff w:val="nothing"/>
      <w:lvlText w:val="%1示例："/>
      <w:lvlJc w:val="left"/>
      <w:pPr>
        <w:tabs>
          <w:tab w:val="left" w:pos="0"/>
        </w:tabs>
        <w:ind w:left="0" w:firstLine="363"/>
      </w:pPr>
      <w:rPr>
        <w:rFonts w:hint="eastAsia" w:ascii="黑体" w:hAns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8"/>
      <w:suff w:val="nothing"/>
      <w:lvlText w:val="%1   "/>
      <w:lvlJc w:val="left"/>
      <w:pPr>
        <w:tabs>
          <w:tab w:val="left" w:pos="0"/>
        </w:tabs>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7"/>
      <w:suff w:val="nothing"/>
      <w:lvlText w:val="注%1："/>
      <w:lvlJc w:val="left"/>
      <w:pPr>
        <w:tabs>
          <w:tab w:val="left" w:pos="0"/>
        </w:tabs>
        <w:ind w:left="811" w:hanging="448"/>
      </w:pPr>
      <w:rPr>
        <w:rFonts w:hint="eastAsia" w:ascii="黑体" w:hAns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2A8F7113"/>
    <w:multiLevelType w:val="multilevel"/>
    <w:tmpl w:val="2A8F7113"/>
    <w:lvl w:ilvl="0" w:tentative="0">
      <w:start w:val="1"/>
      <w:numFmt w:val="upperLetter"/>
      <w:pStyle w:val="93"/>
      <w:suff w:val="space"/>
      <w:lvlText w:val="%1"/>
      <w:lvlJc w:val="left"/>
      <w:pPr>
        <w:tabs>
          <w:tab w:val="left" w:pos="0"/>
        </w:tabs>
        <w:ind w:left="623" w:hanging="425"/>
      </w:pPr>
      <w:rPr>
        <w:rFonts w:hint="eastAsia"/>
      </w:rPr>
    </w:lvl>
    <w:lvl w:ilvl="1" w:tentative="0">
      <w:start w:val="1"/>
      <w:numFmt w:val="decimal"/>
      <w:pStyle w:val="89"/>
      <w:suff w:val="nothing"/>
      <w:lvlText w:val="图%1.%2　"/>
      <w:lvlJc w:val="left"/>
      <w:pPr>
        <w:tabs>
          <w:tab w:val="left" w:pos="0"/>
        </w:tabs>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56"/>
      <w:suff w:val="nothing"/>
      <w:lvlText w:val="%1——"/>
      <w:lvlJc w:val="left"/>
      <w:pPr>
        <w:tabs>
          <w:tab w:val="left" w:pos="0"/>
        </w:tabs>
        <w:ind w:left="833" w:hanging="408"/>
      </w:pPr>
      <w:rPr>
        <w:rFonts w:hint="eastAsia"/>
      </w:rPr>
    </w:lvl>
    <w:lvl w:ilvl="1" w:tentative="0">
      <w:start w:val="1"/>
      <w:numFmt w:val="bullet"/>
      <w:pStyle w:val="76"/>
      <w:lvlText w:val=""/>
      <w:lvlJc w:val="left"/>
      <w:pPr>
        <w:tabs>
          <w:tab w:val="left" w:pos="760"/>
        </w:tabs>
        <w:ind w:left="1264" w:hanging="413"/>
      </w:pPr>
      <w:rPr>
        <w:rFonts w:hint="default" w:ascii="Symbol" w:hAnsi="Symbol"/>
        <w:color w:val="auto"/>
      </w:rPr>
    </w:lvl>
    <w:lvl w:ilvl="2" w:tentative="0">
      <w:start w:val="1"/>
      <w:numFmt w:val="bullet"/>
      <w:pStyle w:val="10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502E45A"/>
    <w:multiLevelType w:val="multilevel"/>
    <w:tmpl w:val="3502E45A"/>
    <w:lvl w:ilvl="0" w:tentative="0">
      <w:start w:val="1"/>
      <w:numFmt w:val="lowerLetter"/>
      <w:pStyle w:val="12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10"/>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8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
    <w:nsid w:val="4B733A5F"/>
    <w:multiLevelType w:val="multilevel"/>
    <w:tmpl w:val="4B733A5F"/>
    <w:lvl w:ilvl="0" w:tentative="0">
      <w:start w:val="1"/>
      <w:numFmt w:val="decimal"/>
      <w:pStyle w:val="61"/>
      <w:suff w:val="nothing"/>
      <w:lvlText w:val="示例%1："/>
      <w:lvlJc w:val="left"/>
      <w:pPr>
        <w:tabs>
          <w:tab w:val="left" w:pos="0"/>
        </w:tabs>
        <w:ind w:left="0" w:firstLine="363"/>
      </w:pPr>
      <w:rPr>
        <w:rFonts w:hint="eastAsia" w:ascii="黑体" w:hAnsi="黑体" w:eastAsia="黑体"/>
        <w:b w:val="0"/>
        <w:i w:val="0"/>
        <w:sz w:val="18"/>
        <w:szCs w:val="18"/>
        <w:vertAlign w:val="baseline"/>
      </w:rPr>
    </w:lvl>
    <w:lvl w:ilvl="1" w:tentative="0">
      <w:start w:val="1"/>
      <w:numFmt w:val="none"/>
      <w:suff w:val="space"/>
      <w:lvlText w:val=""/>
      <w:lvlJc w:val="left"/>
      <w:pPr>
        <w:tabs>
          <w:tab w:val="left" w:pos="0"/>
        </w:tabs>
        <w:ind w:left="0" w:firstLine="0"/>
      </w:pPr>
      <w:rPr>
        <w:rFonts w:hint="eastAsia"/>
        <w:vertAlign w:val="baseline"/>
      </w:rPr>
    </w:lvl>
    <w:lvl w:ilvl="2" w:tentative="0">
      <w:start w:val="1"/>
      <w:numFmt w:val="decimal"/>
      <w:suff w:val="space"/>
      <w:lvlText w:val="2.2.%3"/>
      <w:lvlJc w:val="left"/>
      <w:pPr>
        <w:tabs>
          <w:tab w:val="left" w:pos="0"/>
        </w:tabs>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9">
    <w:nsid w:val="4DE8A73B"/>
    <w:multiLevelType w:val="multilevel"/>
    <w:tmpl w:val="4DE8A73B"/>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557C2AF5"/>
    <w:multiLevelType w:val="multilevel"/>
    <w:tmpl w:val="557C2AF5"/>
    <w:lvl w:ilvl="0" w:tentative="0">
      <w:start w:val="1"/>
      <w:numFmt w:val="decimal"/>
      <w:pStyle w:val="116"/>
      <w:suff w:val="nothing"/>
      <w:lvlText w:val="图%1　"/>
      <w:lvlJc w:val="left"/>
      <w:pPr>
        <w:tabs>
          <w:tab w:val="left" w:pos="0"/>
        </w:tabs>
        <w:ind w:left="0" w:firstLine="0"/>
      </w:pPr>
      <w:rPr>
        <w:rFonts w:hint="eastAsia" w:ascii="黑体" w:hAnsi="黑体" w:eastAsia="黑体"/>
        <w:b w:val="0"/>
        <w:i w:val="0"/>
        <w:sz w:val="21"/>
      </w:rPr>
    </w:lvl>
    <w:lvl w:ilvl="1" w:tentative="0">
      <w:start w:val="1"/>
      <w:numFmt w:val="decimal"/>
      <w:suff w:val="nothing"/>
      <w:lvlText w:val="%1%2　"/>
      <w:lvlJc w:val="left"/>
      <w:pPr>
        <w:tabs>
          <w:tab w:val="left" w:pos="0"/>
        </w:tabs>
        <w:ind w:left="0" w:firstLine="0"/>
      </w:pPr>
      <w:rPr>
        <w:rFonts w:hint="default" w:ascii="Times New Roman" w:hAnsi="Times New Roman" w:eastAsia="黑体"/>
        <w:b w:val="0"/>
        <w:i w:val="0"/>
        <w:sz w:val="21"/>
      </w:rPr>
    </w:lvl>
    <w:lvl w:ilvl="2" w:tentative="0">
      <w:start w:val="1"/>
      <w:numFmt w:val="decimal"/>
      <w:suff w:val="nothing"/>
      <w:lvlText w:val="%1%2.%3　"/>
      <w:lvlJc w:val="left"/>
      <w:pPr>
        <w:tabs>
          <w:tab w:val="left" w:pos="0"/>
        </w:tabs>
        <w:ind w:left="0" w:firstLine="0"/>
      </w:pPr>
      <w:rPr>
        <w:rFonts w:hint="default" w:ascii="Times New Roman" w:hAnsi="Times New Roman" w:eastAsia="黑体"/>
        <w:b w:val="0"/>
        <w:i w:val="0"/>
        <w:sz w:val="21"/>
      </w:rPr>
    </w:lvl>
    <w:lvl w:ilvl="3" w:tentative="0">
      <w:start w:val="1"/>
      <w:numFmt w:val="decimal"/>
      <w:suff w:val="nothing"/>
      <w:lvlText w:val="%1%2.%3.%4　"/>
      <w:lvlJc w:val="left"/>
      <w:pPr>
        <w:tabs>
          <w:tab w:val="left" w:pos="0"/>
        </w:tabs>
        <w:ind w:left="0" w:firstLine="0"/>
      </w:pPr>
      <w:rPr>
        <w:rFonts w:hint="default" w:ascii="Times New Roman" w:hAnsi="Times New Roman" w:eastAsia="黑体"/>
        <w:b w:val="0"/>
        <w:i w:val="0"/>
        <w:sz w:val="21"/>
      </w:rPr>
    </w:lvl>
    <w:lvl w:ilvl="4" w:tentative="0">
      <w:start w:val="1"/>
      <w:numFmt w:val="decimal"/>
      <w:suff w:val="nothing"/>
      <w:lvlText w:val="%1%2.%3.%4.%5　"/>
      <w:lvlJc w:val="left"/>
      <w:pPr>
        <w:tabs>
          <w:tab w:val="left" w:pos="0"/>
        </w:tabs>
        <w:ind w:left="0" w:firstLine="0"/>
      </w:pPr>
      <w:rPr>
        <w:rFonts w:hint="default" w:ascii="Times New Roman" w:hAnsi="Times New Roman" w:eastAsia="黑体"/>
        <w:b w:val="0"/>
        <w:i w:val="0"/>
        <w:sz w:val="21"/>
      </w:rPr>
    </w:lvl>
    <w:lvl w:ilvl="5" w:tentative="0">
      <w:start w:val="1"/>
      <w:numFmt w:val="decimal"/>
      <w:suff w:val="nothing"/>
      <w:lvlText w:val="%1%2.%3.%4.%5.%6　"/>
      <w:lvlJc w:val="left"/>
      <w:pPr>
        <w:tabs>
          <w:tab w:val="left" w:pos="0"/>
        </w:tabs>
        <w:ind w:left="0" w:firstLine="0"/>
      </w:pPr>
      <w:rPr>
        <w:rFonts w:hint="default" w:ascii="Times New Roman" w:hAnsi="Times New Roman" w:eastAsia="黑体"/>
        <w:b w:val="0"/>
        <w:i w:val="0"/>
        <w:sz w:val="21"/>
      </w:rPr>
    </w:lvl>
    <w:lvl w:ilvl="6" w:tentative="0">
      <w:start w:val="1"/>
      <w:numFmt w:val="decimal"/>
      <w:suff w:val="nothing"/>
      <w:lvlText w:val="%1%2.%3.%4.%5.%6.%7　"/>
      <w:lvlJc w:val="left"/>
      <w:pPr>
        <w:tabs>
          <w:tab w:val="left" w:pos="0"/>
        </w:tabs>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0B55DC2"/>
    <w:multiLevelType w:val="multilevel"/>
    <w:tmpl w:val="60B55DC2"/>
    <w:lvl w:ilvl="0" w:tentative="0">
      <w:start w:val="1"/>
      <w:numFmt w:val="upperLetter"/>
      <w:pStyle w:val="102"/>
      <w:lvlText w:val="%1"/>
      <w:lvlJc w:val="left"/>
      <w:pPr>
        <w:tabs>
          <w:tab w:val="left" w:pos="0"/>
        </w:tabs>
        <w:ind w:left="0" w:hanging="425"/>
      </w:pPr>
      <w:rPr>
        <w:rFonts w:hint="eastAsia"/>
      </w:rPr>
    </w:lvl>
    <w:lvl w:ilvl="1" w:tentative="0">
      <w:start w:val="1"/>
      <w:numFmt w:val="decimal"/>
      <w:pStyle w:val="82"/>
      <w:suff w:val="nothing"/>
      <w:lvlText w:val="表%1.%2　"/>
      <w:lvlJc w:val="left"/>
      <w:pPr>
        <w:tabs>
          <w:tab w:val="left" w:pos="0"/>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5265A5B"/>
    <w:multiLevelType w:val="multilevel"/>
    <w:tmpl w:val="65265A5B"/>
    <w:lvl w:ilvl="0" w:tentative="0">
      <w:start w:val="1"/>
      <w:numFmt w:val="decimal"/>
      <w:pStyle w:val="60"/>
      <w:suff w:val="nothing"/>
      <w:lvlText w:val="%1　"/>
      <w:lvlJc w:val="left"/>
      <w:pPr>
        <w:tabs>
          <w:tab w:val="left" w:pos="0"/>
        </w:tabs>
        <w:ind w:left="0" w:firstLine="0"/>
      </w:pPr>
      <w:rPr>
        <w:rFonts w:hint="eastAsia" w:ascii="黑体" w:hAnsi="黑体" w:eastAsia="黑体"/>
        <w:b w:val="0"/>
        <w:i w:val="0"/>
        <w:sz w:val="21"/>
        <w:szCs w:val="21"/>
      </w:rPr>
    </w:lvl>
    <w:lvl w:ilvl="1" w:tentative="0">
      <w:start w:val="1"/>
      <w:numFmt w:val="decimal"/>
      <w:pStyle w:val="48"/>
      <w:suff w:val="nothing"/>
      <w:lvlText w:val="%1.%2　"/>
      <w:lvlJc w:val="left"/>
      <w:pPr>
        <w:tabs>
          <w:tab w:val="left" w:pos="0"/>
        </w:tabs>
        <w:ind w:left="0" w:firstLine="0"/>
      </w:pPr>
      <w:rPr>
        <w:rFonts w:hint="eastAsia" w:ascii="黑体" w:hAnsi="黑体" w:eastAsia="黑体" w:cs="Times New Roman"/>
        <w:b w:val="0"/>
        <w:bCs w:val="0"/>
        <w:i w:val="0"/>
        <w:iCs w:val="0"/>
        <w:caps w:val="0"/>
        <w:small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9"/>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50"/>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51"/>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pStyle w:val="70"/>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57D3FBC"/>
    <w:multiLevelType w:val="multilevel"/>
    <w:tmpl w:val="657D3FBC"/>
    <w:lvl w:ilvl="0" w:tentative="0">
      <w:start w:val="1"/>
      <w:numFmt w:val="upperLetter"/>
      <w:pStyle w:val="130"/>
      <w:suff w:val="nothing"/>
      <w:lvlText w:val="附　录　%1"/>
      <w:lvlJc w:val="left"/>
      <w:pPr>
        <w:tabs>
          <w:tab w:val="left" w:pos="0"/>
        </w:tabs>
        <w:ind w:left="0" w:firstLine="0"/>
      </w:pPr>
      <w:rPr>
        <w:rFonts w:hint="eastAsia" w:ascii="黑体" w:hAnsi="黑体" w:eastAsia="黑体"/>
        <w:b w:val="0"/>
        <w:i w:val="0"/>
        <w:spacing w:val="0"/>
        <w:w w:val="100"/>
        <w:sz w:val="21"/>
      </w:rPr>
    </w:lvl>
    <w:lvl w:ilvl="1" w:tentative="0">
      <w:start w:val="1"/>
      <w:numFmt w:val="decimal"/>
      <w:pStyle w:val="54"/>
      <w:suff w:val="nothing"/>
      <w:lvlText w:val="%1.%2　"/>
      <w:lvlJc w:val="left"/>
      <w:pPr>
        <w:tabs>
          <w:tab w:val="left" w:pos="0"/>
        </w:tabs>
        <w:ind w:left="0" w:firstLine="0"/>
      </w:pPr>
      <w:rPr>
        <w:rFonts w:hint="eastAsia" w:ascii="黑体" w:hAnsi="黑体" w:eastAsia="黑体"/>
        <w:b w:val="0"/>
        <w:i w:val="0"/>
        <w:snapToGrid/>
        <w:spacing w:val="0"/>
        <w:w w:val="100"/>
        <w:kern w:val="21"/>
        <w:sz w:val="21"/>
      </w:rPr>
    </w:lvl>
    <w:lvl w:ilvl="2" w:tentative="0">
      <w:start w:val="1"/>
      <w:numFmt w:val="decimal"/>
      <w:pStyle w:val="94"/>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64"/>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65"/>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pStyle w:val="66"/>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pStyle w:val="67"/>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D6C07CD"/>
    <w:multiLevelType w:val="multilevel"/>
    <w:tmpl w:val="6D6C07CD"/>
    <w:lvl w:ilvl="0" w:tentative="0">
      <w:start w:val="1"/>
      <w:numFmt w:val="lowerLetter"/>
      <w:pStyle w:val="85"/>
      <w:lvlText w:val="%1)"/>
      <w:lvlJc w:val="left"/>
      <w:pPr>
        <w:tabs>
          <w:tab w:val="left" w:pos="839"/>
        </w:tabs>
        <w:ind w:left="839" w:hanging="419"/>
      </w:pPr>
      <w:rPr>
        <w:rFonts w:hint="eastAsia" w:ascii="宋体" w:hAnsi="宋体" w:eastAsia="宋体"/>
        <w:b w:val="0"/>
        <w:i w:val="0"/>
        <w:sz w:val="21"/>
      </w:rPr>
    </w:lvl>
    <w:lvl w:ilvl="1" w:tentative="0">
      <w:start w:val="1"/>
      <w:numFmt w:val="decimal"/>
      <w:pStyle w:val="81"/>
      <w:lvlText w:val="%2)"/>
      <w:lvlJc w:val="left"/>
      <w:pPr>
        <w:tabs>
          <w:tab w:val="left" w:pos="840"/>
        </w:tabs>
        <w:ind w:left="839" w:hanging="419"/>
      </w:pPr>
      <w:rPr>
        <w:rFonts w:hint="eastAsia" w:ascii="宋体" w:hAns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5">
    <w:nsid w:val="6DBF04F4"/>
    <w:multiLevelType w:val="multilevel"/>
    <w:tmpl w:val="6DBF04F4"/>
    <w:lvl w:ilvl="0" w:tentative="0">
      <w:start w:val="1"/>
      <w:numFmt w:val="none"/>
      <w:pStyle w:val="52"/>
      <w:suff w:val="nothing"/>
      <w:lvlText w:val="%1注："/>
      <w:lvlJc w:val="left"/>
      <w:pPr>
        <w:tabs>
          <w:tab w:val="left" w:pos="0"/>
        </w:tabs>
        <w:ind w:left="726" w:hanging="363"/>
      </w:pPr>
      <w:rPr>
        <w:rFonts w:hint="eastAsia" w:ascii="黑体" w:hAns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6">
    <w:nsid w:val="7126E3EE"/>
    <w:multiLevelType w:val="multilevel"/>
    <w:tmpl w:val="7126E3EE"/>
    <w:lvl w:ilvl="0" w:tentative="0">
      <w:start w:val="1"/>
      <w:numFmt w:val="decimal"/>
      <w:pStyle w:val="132"/>
      <w:suff w:val="nothing"/>
      <w:lvlText w:val="表%1　"/>
      <w:lvlJc w:val="left"/>
      <w:pPr>
        <w:tabs>
          <w:tab w:val="left" w:pos="0"/>
        </w:tabs>
        <w:ind w:left="3969" w:firstLine="0"/>
      </w:pPr>
      <w:rPr>
        <w:rFonts w:hint="eastAsia" w:ascii="黑体" w:hAnsi="黑体"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9"/>
  </w:num>
  <w:num w:numId="2">
    <w:abstractNumId w:val="12"/>
  </w:num>
  <w:num w:numId="3">
    <w:abstractNumId w:val="15"/>
  </w:num>
  <w:num w:numId="4">
    <w:abstractNumId w:val="13"/>
  </w:num>
  <w:num w:numId="5">
    <w:abstractNumId w:val="6"/>
  </w:num>
  <w:num w:numId="6">
    <w:abstractNumId w:val="8"/>
  </w:num>
  <w:num w:numId="7">
    <w:abstractNumId w:val="4"/>
  </w:num>
  <w:num w:numId="8">
    <w:abstractNumId w:val="14"/>
  </w:num>
  <w:num w:numId="9">
    <w:abstractNumId w:val="11"/>
  </w:num>
  <w:num w:numId="10">
    <w:abstractNumId w:val="2"/>
  </w:num>
  <w:num w:numId="11">
    <w:abstractNumId w:val="7"/>
  </w:num>
  <w:num w:numId="12">
    <w:abstractNumId w:val="5"/>
  </w:num>
  <w:num w:numId="13">
    <w:abstractNumId w:val="1"/>
  </w:num>
  <w:num w:numId="14">
    <w:abstractNumId w:val="0"/>
  </w:num>
  <w:num w:numId="15">
    <w:abstractNumId w:val="10"/>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3794E"/>
    <w:rsid w:val="0D7D1478"/>
    <w:rsid w:val="2B614AD8"/>
    <w:rsid w:val="73D43E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Wingdings"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toc 7"/>
    <w:basedOn w:val="1"/>
    <w:next w:val="1"/>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lang w:bidi="ar-SA"/>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qFormat/>
    <w:uiPriority w:val="0"/>
    <w:pPr>
      <w:tabs>
        <w:tab w:val="right" w:leader="dot" w:pos="9241"/>
      </w:tabs>
      <w:ind w:firstLine="300" w:firstLineChars="300"/>
      <w:jc w:val="left"/>
    </w:pPr>
    <w:rPr>
      <w:rFonts w:ascii="宋体"/>
      <w:szCs w:val="21"/>
    </w:rPr>
  </w:style>
  <w:style w:type="paragraph" w:styleId="10">
    <w:name w:val="toc 3"/>
    <w:basedOn w:val="1"/>
    <w:next w:val="1"/>
    <w:qFormat/>
    <w:uiPriority w:val="0"/>
    <w:pPr>
      <w:tabs>
        <w:tab w:val="right" w:leader="dot" w:pos="9241"/>
      </w:tabs>
      <w:ind w:firstLine="100" w:firstLineChars="100"/>
      <w:jc w:val="left"/>
    </w:pPr>
    <w:rPr>
      <w:rFonts w:ascii="宋体"/>
      <w:szCs w:val="21"/>
    </w:rPr>
  </w:style>
  <w:style w:type="paragraph" w:styleId="11">
    <w:name w:val="Plain Text"/>
    <w:basedOn w:val="1"/>
    <w:uiPriority w:val="0"/>
    <w:rPr>
      <w:rFonts w:ascii="宋体"/>
      <w:szCs w:val="21"/>
    </w:rPr>
  </w:style>
  <w:style w:type="paragraph" w:styleId="12">
    <w:name w:val="toc 8"/>
    <w:basedOn w:val="1"/>
    <w:next w:val="1"/>
    <w:qFormat/>
    <w:uiPriority w:val="0"/>
    <w:pPr>
      <w:tabs>
        <w:tab w:val="right" w:leader="dot" w:pos="9241"/>
      </w:tabs>
      <w:ind w:firstLine="600" w:firstLineChars="600"/>
      <w:jc w:val="left"/>
    </w:pPr>
    <w:rPr>
      <w:rFonts w:ascii="宋体"/>
      <w:szCs w:val="21"/>
    </w:rPr>
  </w:style>
  <w:style w:type="paragraph" w:styleId="13">
    <w:name w:val="index 3"/>
    <w:basedOn w:val="1"/>
    <w:next w:val="1"/>
    <w:uiPriority w:val="0"/>
    <w:pPr>
      <w:ind w:left="630" w:hanging="210"/>
      <w:jc w:val="left"/>
    </w:pPr>
    <w:rPr>
      <w:rFonts w:ascii="Calibri" w:hAnsi="Calibri"/>
      <w:sz w:val="20"/>
      <w:szCs w:val="20"/>
    </w:rPr>
  </w:style>
  <w:style w:type="paragraph" w:styleId="14">
    <w:name w:val="endnote text"/>
    <w:basedOn w:val="1"/>
    <w:uiPriority w:val="0"/>
    <w:pPr>
      <w:snapToGrid w:val="0"/>
      <w:jc w:val="left"/>
    </w:pPr>
  </w:style>
  <w:style w:type="paragraph" w:styleId="15">
    <w:name w:val="Balloon Text"/>
    <w:basedOn w:val="1"/>
    <w:uiPriority w:val="0"/>
    <w:rPr>
      <w:sz w:val="18"/>
      <w:szCs w:val="18"/>
    </w:rPr>
  </w:style>
  <w:style w:type="paragraph" w:styleId="16">
    <w:name w:val="footer"/>
    <w:basedOn w:val="1"/>
    <w:uiPriority w:val="0"/>
    <w:pPr>
      <w:snapToGrid w:val="0"/>
      <w:ind w:right="100" w:rightChars="100"/>
      <w:jc w:val="right"/>
    </w:pPr>
    <w:rPr>
      <w:sz w:val="18"/>
      <w:szCs w:val="18"/>
    </w:rPr>
  </w:style>
  <w:style w:type="paragraph" w:styleId="17">
    <w:name w:val="header"/>
    <w:basedOn w:val="1"/>
    <w:uiPriority w:val="0"/>
    <w:pPr>
      <w:snapToGrid w:val="0"/>
      <w:jc w:val="left"/>
    </w:pPr>
    <w:rPr>
      <w:sz w:val="18"/>
      <w:szCs w:val="18"/>
    </w:rPr>
  </w:style>
  <w:style w:type="paragraph" w:styleId="18">
    <w:name w:val="toc 1"/>
    <w:basedOn w:val="1"/>
    <w:next w:val="1"/>
    <w:uiPriority w:val="0"/>
    <w:pPr>
      <w:tabs>
        <w:tab w:val="right" w:leader="dot" w:pos="9242"/>
      </w:tabs>
      <w:spacing w:before="25" w:beforeLines="25" w:after="25" w:afterLines="25"/>
      <w:jc w:val="left"/>
    </w:pPr>
    <w:rPr>
      <w:rFonts w:ascii="宋体"/>
      <w:szCs w:val="21"/>
    </w:rPr>
  </w:style>
  <w:style w:type="paragraph" w:styleId="19">
    <w:name w:val="toc 4"/>
    <w:basedOn w:val="1"/>
    <w:next w:val="1"/>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uiPriority w:val="0"/>
    <w:pPr>
      <w:tabs>
        <w:tab w:val="right" w:leader="dot" w:pos="9299"/>
      </w:tabs>
      <w:jc w:val="left"/>
    </w:pPr>
    <w:rPr>
      <w:rFonts w:ascii="宋体"/>
      <w:szCs w:val="21"/>
    </w:rPr>
  </w:style>
  <w:style w:type="paragraph" w:customStyle="1" w:styleId="22">
    <w:name w:val="段"/>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lang w:val="en-US" w:eastAsia="zh-CN" w:bidi="ar-SA"/>
    </w:rPr>
  </w:style>
  <w:style w:type="paragraph" w:styleId="23">
    <w:name w:val="footnote text"/>
    <w:basedOn w:val="1"/>
    <w:uiPriority w:val="0"/>
    <w:pPr>
      <w:numPr>
        <w:ilvl w:val="0"/>
        <w:numId w:val="1"/>
      </w:numPr>
      <w:snapToGrid w:val="0"/>
      <w:jc w:val="left"/>
    </w:pPr>
    <w:rPr>
      <w:rFonts w:ascii="宋体"/>
      <w:sz w:val="18"/>
      <w:szCs w:val="18"/>
    </w:rPr>
  </w:style>
  <w:style w:type="paragraph" w:styleId="24">
    <w:name w:val="toc 6"/>
    <w:basedOn w:val="1"/>
    <w:next w:val="1"/>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uiPriority w:val="0"/>
    <w:pPr>
      <w:tabs>
        <w:tab w:val="right" w:leader="dot" w:pos="9242"/>
      </w:tabs>
    </w:pPr>
    <w:rPr>
      <w:rFonts w:ascii="宋体"/>
      <w:szCs w:val="21"/>
    </w:rPr>
  </w:style>
  <w:style w:type="paragraph" w:styleId="28">
    <w:name w:val="toc 9"/>
    <w:basedOn w:val="1"/>
    <w:next w:val="1"/>
    <w:qFormat/>
    <w:uiPriority w:val="0"/>
    <w:pPr>
      <w:ind w:left="1470"/>
      <w:jc w:val="left"/>
    </w:pPr>
    <w:rPr>
      <w:sz w:val="20"/>
      <w:szCs w:val="20"/>
    </w:rPr>
  </w:style>
  <w:style w:type="paragraph" w:styleId="29">
    <w:name w:val="index 2"/>
    <w:basedOn w:val="1"/>
    <w:next w:val="1"/>
    <w:uiPriority w:val="0"/>
    <w:pPr>
      <w:ind w:left="420" w:hanging="210"/>
      <w:jc w:val="left"/>
    </w:pPr>
    <w:rPr>
      <w:rFonts w:ascii="Calibri" w:hAnsi="Calibri"/>
      <w:sz w:val="20"/>
      <w:szCs w:val="20"/>
    </w:rPr>
  </w:style>
  <w:style w:type="character" w:styleId="32">
    <w:name w:val="endnote reference"/>
    <w:uiPriority w:val="0"/>
    <w:rPr>
      <w:vertAlign w:val="superscript"/>
    </w:rPr>
  </w:style>
  <w:style w:type="character" w:styleId="33">
    <w:name w:val="page number"/>
    <w:uiPriority w:val="0"/>
    <w:rPr>
      <w:rFonts w:ascii="Times New Roman" w:hAnsi="Times New Roman" w:eastAsia="宋体"/>
      <w:sz w:val="18"/>
    </w:rPr>
  </w:style>
  <w:style w:type="character" w:styleId="34">
    <w:name w:val="FollowedHyperlink"/>
    <w:uiPriority w:val="0"/>
    <w:rPr>
      <w:color w:val="800080"/>
      <w:u w:val="single"/>
    </w:rPr>
  </w:style>
  <w:style w:type="character" w:styleId="35">
    <w:name w:val="Emphasis"/>
    <w:uiPriority w:val="0"/>
    <w:rPr>
      <w:color w:val="CC0000"/>
    </w:rPr>
  </w:style>
  <w:style w:type="character" w:styleId="36">
    <w:name w:val="Hyperlink"/>
    <w:uiPriority w:val="0"/>
    <w:rPr>
      <w:color w:val="0000FF"/>
      <w:spacing w:val="0"/>
      <w:w w:val="100"/>
      <w:szCs w:val="21"/>
      <w:u w:val="single"/>
      <w:lang w:val="en-US" w:eastAsia="zh-CN"/>
    </w:rPr>
  </w:style>
  <w:style w:type="character" w:styleId="37">
    <w:name w:val="footnote reference"/>
    <w:uiPriority w:val="0"/>
    <w:rPr>
      <w:vertAlign w:val="superscript"/>
    </w:rPr>
  </w:style>
  <w:style w:type="character" w:customStyle="1" w:styleId="38">
    <w:name w:val="纯文本 Char1"/>
    <w:uiPriority w:val="0"/>
    <w:rPr>
      <w:rFonts w:ascii="宋体" w:cs="Courier New"/>
      <w:kern w:val="2"/>
      <w:sz w:val="21"/>
      <w:szCs w:val="21"/>
      <w:lang w:bidi="ar-SA"/>
    </w:rPr>
  </w:style>
  <w:style w:type="character" w:customStyle="1" w:styleId="39">
    <w:name w:val="发布"/>
    <w:uiPriority w:val="0"/>
    <w:rPr>
      <w:rFonts w:ascii="黑体" w:eastAsia="黑体"/>
      <w:spacing w:val="85"/>
      <w:w w:val="100"/>
      <w:position w:val="3"/>
      <w:sz w:val="28"/>
      <w:szCs w:val="28"/>
    </w:rPr>
  </w:style>
  <w:style w:type="character" w:customStyle="1" w:styleId="40">
    <w:name w:val="highlight"/>
    <w:basedOn w:val="31"/>
    <w:qFormat/>
    <w:uiPriority w:val="0"/>
  </w:style>
  <w:style w:type="paragraph" w:customStyle="1" w:styleId="41">
    <w:name w:val="附录公式"/>
    <w:basedOn w:val="22"/>
    <w:next w:val="22"/>
    <w:uiPriority w:val="0"/>
  </w:style>
  <w:style w:type="paragraph" w:customStyle="1" w:styleId="42">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4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4">
    <w:name w:val="封面标准英文名称"/>
    <w:basedOn w:val="43"/>
    <w:uiPriority w:val="0"/>
    <w:pPr>
      <w:framePr w:wrap="around"/>
      <w:spacing w:before="370" w:line="400" w:lineRule="exact"/>
    </w:pPr>
    <w:rPr>
      <w:rFonts w:ascii="Times New Roman" w:hAnsi="Times New Roman"/>
      <w:sz w:val="28"/>
      <w:szCs w:val="28"/>
    </w:rPr>
  </w:style>
  <w:style w:type="paragraph" w:customStyle="1" w:styleId="45">
    <w:name w:val="封面一致性程度标识"/>
    <w:basedOn w:val="44"/>
    <w:uiPriority w:val="0"/>
    <w:pPr>
      <w:framePr w:wrap="around"/>
      <w:spacing w:before="440"/>
    </w:pPr>
    <w:rPr>
      <w:rFonts w:ascii="宋体" w:eastAsia="宋体"/>
    </w:rPr>
  </w:style>
  <w:style w:type="paragraph" w:customStyle="1" w:styleId="46">
    <w:name w:val="封面标准文稿类别"/>
    <w:basedOn w:val="45"/>
    <w:uiPriority w:val="0"/>
    <w:pPr>
      <w:framePr w:wrap="around"/>
      <w:spacing w:after="160" w:line="240" w:lineRule="auto"/>
    </w:pPr>
    <w:rPr>
      <w:sz w:val="24"/>
    </w:rPr>
  </w:style>
  <w:style w:type="paragraph" w:customStyle="1" w:styleId="47">
    <w:name w:val="封面标准文稿类别2"/>
    <w:basedOn w:val="46"/>
    <w:qFormat/>
    <w:uiPriority w:val="0"/>
    <w:pPr>
      <w:framePr w:wrap="around" w:y="4469"/>
    </w:pPr>
  </w:style>
  <w:style w:type="paragraph" w:customStyle="1" w:styleId="48">
    <w:name w:val="一级条标题"/>
    <w:next w:val="22"/>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9">
    <w:name w:val="二级条标题"/>
    <w:basedOn w:val="48"/>
    <w:next w:val="22"/>
    <w:uiPriority w:val="0"/>
    <w:pPr>
      <w:numPr>
        <w:ilvl w:val="2"/>
        <w:numId w:val="2"/>
      </w:numPr>
      <w:spacing w:before="50" w:beforeLines="0" w:after="50" w:afterLines="0"/>
      <w:outlineLvl w:val="3"/>
    </w:pPr>
  </w:style>
  <w:style w:type="paragraph" w:customStyle="1" w:styleId="50">
    <w:name w:val="三级条标题"/>
    <w:basedOn w:val="49"/>
    <w:next w:val="22"/>
    <w:uiPriority w:val="0"/>
    <w:pPr>
      <w:numPr>
        <w:ilvl w:val="3"/>
        <w:numId w:val="2"/>
      </w:numPr>
      <w:outlineLvl w:val="4"/>
    </w:pPr>
  </w:style>
  <w:style w:type="paragraph" w:customStyle="1" w:styleId="51">
    <w:name w:val="四级条标题"/>
    <w:basedOn w:val="50"/>
    <w:next w:val="22"/>
    <w:uiPriority w:val="0"/>
    <w:pPr>
      <w:numPr>
        <w:ilvl w:val="4"/>
        <w:numId w:val="2"/>
      </w:numPr>
      <w:outlineLvl w:val="5"/>
    </w:pPr>
  </w:style>
  <w:style w:type="paragraph" w:customStyle="1" w:styleId="52">
    <w:name w:val="注："/>
    <w:next w:val="22"/>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53">
    <w:name w:val="注：（正文）"/>
    <w:basedOn w:val="52"/>
    <w:next w:val="22"/>
    <w:qFormat/>
    <w:uiPriority w:val="0"/>
  </w:style>
  <w:style w:type="paragraph" w:customStyle="1" w:styleId="54">
    <w:name w:val="附录章标题"/>
    <w:next w:val="22"/>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5">
    <w:name w:val="封面标准文稿编辑信息"/>
    <w:basedOn w:val="46"/>
    <w:qFormat/>
    <w:uiPriority w:val="0"/>
    <w:pPr>
      <w:framePr w:wrap="around"/>
      <w:spacing w:before="180" w:line="180" w:lineRule="exact"/>
    </w:pPr>
    <w:rPr>
      <w:sz w:val="21"/>
    </w:rPr>
  </w:style>
  <w:style w:type="paragraph" w:customStyle="1" w:styleId="56">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5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5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0">
    <w:name w:val="章标题"/>
    <w:next w:val="22"/>
    <w:uiPriority w:val="0"/>
    <w:pPr>
      <w:numPr>
        <w:ilvl w:val="0"/>
        <w:numId w:val="2"/>
      </w:numPr>
      <w:spacing w:before="100" w:beforeLines="100" w:after="100" w:afterLines="100"/>
      <w:jc w:val="both"/>
      <w:outlineLvl w:val="1"/>
    </w:pPr>
    <w:rPr>
      <w:rFonts w:ascii="黑体" w:hAnsi="Times New Roman" w:eastAsia="黑体" w:cs="Times New Roman"/>
      <w:sz w:val="21"/>
      <w:lang w:val="en-US" w:eastAsia="zh-CN" w:bidi="ar-SA"/>
    </w:rPr>
  </w:style>
  <w:style w:type="paragraph" w:customStyle="1" w:styleId="61">
    <w:name w:val="示例×："/>
    <w:basedOn w:val="60"/>
    <w:qFormat/>
    <w:uiPriority w:val="0"/>
    <w:pPr>
      <w:numPr>
        <w:ilvl w:val="0"/>
        <w:numId w:val="6"/>
      </w:numPr>
      <w:spacing w:before="0" w:beforeLines="0" w:after="0" w:afterLines="0"/>
      <w:outlineLvl w:val="9"/>
    </w:pPr>
    <w:rPr>
      <w:rFonts w:ascii="宋体" w:eastAsia="宋体"/>
      <w:sz w:val="18"/>
      <w:szCs w:val="18"/>
    </w:rPr>
  </w:style>
  <w:style w:type="paragraph" w:customStyle="1" w:styleId="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3">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4">
    <w:name w:val="附录二级条标题"/>
    <w:basedOn w:val="1"/>
    <w:next w:val="22"/>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5">
    <w:name w:val="附录三级条标题"/>
    <w:basedOn w:val="64"/>
    <w:next w:val="22"/>
    <w:qFormat/>
    <w:uiPriority w:val="0"/>
    <w:pPr>
      <w:numPr>
        <w:ilvl w:val="4"/>
        <w:numId w:val="4"/>
      </w:numPr>
      <w:outlineLvl w:val="4"/>
    </w:pPr>
  </w:style>
  <w:style w:type="paragraph" w:customStyle="1" w:styleId="66">
    <w:name w:val="附录四级条标题"/>
    <w:basedOn w:val="65"/>
    <w:next w:val="22"/>
    <w:qFormat/>
    <w:uiPriority w:val="0"/>
    <w:pPr>
      <w:numPr>
        <w:ilvl w:val="5"/>
        <w:numId w:val="4"/>
      </w:numPr>
      <w:outlineLvl w:val="5"/>
    </w:pPr>
  </w:style>
  <w:style w:type="paragraph" w:customStyle="1" w:styleId="67">
    <w:name w:val="附录五级条标题"/>
    <w:basedOn w:val="66"/>
    <w:next w:val="22"/>
    <w:qFormat/>
    <w:uiPriority w:val="0"/>
    <w:pPr>
      <w:numPr>
        <w:ilvl w:val="6"/>
        <w:numId w:val="4"/>
      </w:numPr>
      <w:outlineLvl w:val="6"/>
    </w:pPr>
  </w:style>
  <w:style w:type="paragraph" w:customStyle="1" w:styleId="68">
    <w:name w:val="附录五级无"/>
    <w:basedOn w:val="67"/>
    <w:qFormat/>
    <w:uiPriority w:val="0"/>
    <w:pPr>
      <w:tabs>
        <w:tab w:val="clear" w:pos="360"/>
      </w:tabs>
      <w:spacing w:before="0" w:beforeLines="0" w:after="0" w:afterLines="0"/>
    </w:pPr>
    <w:rPr>
      <w:rFonts w:ascii="宋体" w:eastAsia="宋体"/>
      <w:szCs w:val="21"/>
    </w:rPr>
  </w:style>
  <w:style w:type="paragraph" w:customStyle="1" w:styleId="69">
    <w:name w:val="正文公式编号制表符"/>
    <w:basedOn w:val="22"/>
    <w:next w:val="22"/>
    <w:qFormat/>
    <w:uiPriority w:val="0"/>
    <w:pPr>
      <w:ind w:firstLine="0" w:firstLineChars="0"/>
    </w:pPr>
  </w:style>
  <w:style w:type="paragraph" w:customStyle="1" w:styleId="70">
    <w:name w:val="五级条标题"/>
    <w:basedOn w:val="51"/>
    <w:next w:val="22"/>
    <w:qFormat/>
    <w:uiPriority w:val="0"/>
    <w:pPr>
      <w:numPr>
        <w:ilvl w:val="5"/>
        <w:numId w:val="2"/>
      </w:numPr>
      <w:outlineLvl w:val="6"/>
    </w:pPr>
  </w:style>
  <w:style w:type="paragraph" w:customStyle="1" w:styleId="7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3">
    <w:name w:val="封面正文"/>
    <w:qFormat/>
    <w:uiPriority w:val="0"/>
    <w:pPr>
      <w:jc w:val="both"/>
    </w:pPr>
    <w:rPr>
      <w:rFonts w:ascii="Times New Roman" w:hAnsi="Times New Roman" w:eastAsia="宋体" w:cs="Times New Roman"/>
      <w:sz w:val="20"/>
      <w:lang w:val="en-US" w:eastAsia="zh-CN" w:bidi="ar-SA"/>
    </w:rPr>
  </w:style>
  <w:style w:type="paragraph" w:customStyle="1" w:styleId="74">
    <w:name w:val="其他标准称谓"/>
    <w:next w:val="1"/>
    <w:uiPriority w:val="0"/>
    <w:pPr>
      <w:framePr w:hSpace="181" w:vSpace="181" w:wrap="around" w:vAnchor="page" w:hAnchor="page" w:x="1419" w:y="2286" w:anchorLock="1"/>
      <w:spacing w:line="0" w:lineRule="atLeast"/>
      <w:jc w:val="distribute"/>
    </w:pPr>
    <w:rPr>
      <w:rFonts w:ascii="黑体" w:hAnsi="Times New Roman" w:eastAsia="黑体" w:cs="Times New Roman"/>
      <w:spacing w:val="-40"/>
      <w:sz w:val="48"/>
      <w:szCs w:val="52"/>
      <w:lang w:val="en-US" w:eastAsia="zh-CN" w:bidi="ar-SA"/>
    </w:rPr>
  </w:style>
  <w:style w:type="paragraph" w:customStyle="1" w:styleId="75">
    <w:name w:val="示例后文字"/>
    <w:basedOn w:val="22"/>
    <w:next w:val="22"/>
    <w:qFormat/>
    <w:uiPriority w:val="0"/>
    <w:rPr>
      <w:sz w:val="18"/>
    </w:rPr>
  </w:style>
  <w:style w:type="paragraph" w:customStyle="1" w:styleId="76">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77">
    <w:name w:val="注×：（正文）"/>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7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9">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80">
    <w:name w:val="封面一致性程度标识2"/>
    <w:basedOn w:val="45"/>
    <w:qFormat/>
    <w:uiPriority w:val="0"/>
    <w:pPr>
      <w:framePr w:wrap="around" w:y="4469"/>
    </w:pPr>
  </w:style>
  <w:style w:type="paragraph" w:customStyle="1" w:styleId="81">
    <w:name w:val="附录数字编号列项（二级）"/>
    <w:uiPriority w:val="0"/>
    <w:pPr>
      <w:numPr>
        <w:ilvl w:val="1"/>
        <w:numId w:val="8"/>
      </w:numPr>
    </w:pPr>
    <w:rPr>
      <w:rFonts w:ascii="宋体" w:hAnsi="Times New Roman" w:eastAsia="宋体" w:cs="Times New Roman"/>
      <w:sz w:val="21"/>
      <w:lang w:val="en-US" w:eastAsia="zh-CN" w:bidi="ar-SA"/>
    </w:rPr>
  </w:style>
  <w:style w:type="paragraph" w:customStyle="1" w:styleId="82">
    <w:name w:val="附录表标题"/>
    <w:basedOn w:val="1"/>
    <w:next w:val="22"/>
    <w:qFormat/>
    <w:uiPriority w:val="0"/>
    <w:pPr>
      <w:numPr>
        <w:ilvl w:val="1"/>
        <w:numId w:val="9"/>
      </w:numPr>
      <w:tabs>
        <w:tab w:val="left" w:pos="180"/>
      </w:tabs>
      <w:spacing w:before="50" w:beforeLines="50" w:after="50" w:afterLines="50"/>
      <w:ind w:left="0" w:firstLine="0"/>
      <w:jc w:val="center"/>
    </w:pPr>
    <w:rPr>
      <w:rFonts w:ascii="黑体" w:eastAsia="黑体"/>
      <w:szCs w:val="21"/>
    </w:rPr>
  </w:style>
  <w:style w:type="paragraph" w:customStyle="1" w:styleId="8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4">
    <w:name w:val="示例"/>
    <w:next w:val="58"/>
    <w:uiPriority w:val="0"/>
    <w:pPr>
      <w:widowControl w:val="0"/>
      <w:numPr>
        <w:ilvl w:val="0"/>
        <w:numId w:val="10"/>
      </w:numPr>
      <w:jc w:val="both"/>
    </w:pPr>
    <w:rPr>
      <w:rFonts w:ascii="宋体" w:hAnsi="Times New Roman" w:eastAsia="宋体" w:cs="Times New Roman"/>
      <w:sz w:val="18"/>
      <w:szCs w:val="18"/>
      <w:lang w:val="en-US" w:eastAsia="zh-CN" w:bidi="ar-SA"/>
    </w:rPr>
  </w:style>
  <w:style w:type="paragraph" w:customStyle="1" w:styleId="85">
    <w:name w:val="附录字母编号列项（一级）"/>
    <w:uiPriority w:val="0"/>
    <w:pPr>
      <w:numPr>
        <w:ilvl w:val="0"/>
        <w:numId w:val="8"/>
      </w:numPr>
    </w:pPr>
    <w:rPr>
      <w:rFonts w:ascii="宋体" w:hAnsi="Times New Roman" w:eastAsia="宋体" w:cs="Times New Roman"/>
      <w:sz w:val="21"/>
      <w:lang w:val="en-US" w:eastAsia="zh-CN" w:bidi="ar-SA"/>
    </w:rPr>
  </w:style>
  <w:style w:type="paragraph" w:customStyle="1" w:styleId="86">
    <w:name w:val="图的脚注"/>
    <w:next w:val="22"/>
    <w:uiPriority w:val="0"/>
    <w:pPr>
      <w:widowControl w:val="0"/>
      <w:ind w:left="400" w:leftChars="200" w:hanging="200" w:hangingChars="200"/>
      <w:jc w:val="both"/>
    </w:pPr>
    <w:rPr>
      <w:rFonts w:ascii="宋体" w:hAnsi="Times New Roman" w:eastAsia="宋体" w:cs="Times New Roman"/>
      <w:sz w:val="18"/>
      <w:lang w:val="en-US" w:eastAsia="zh-CN" w:bidi="ar-SA"/>
    </w:rPr>
  </w:style>
  <w:style w:type="paragraph" w:customStyle="1" w:styleId="87">
    <w:name w:val="编号列项（三级）"/>
    <w:uiPriority w:val="0"/>
    <w:pPr>
      <w:numPr>
        <w:ilvl w:val="2"/>
        <w:numId w:val="11"/>
      </w:numPr>
    </w:pPr>
    <w:rPr>
      <w:rFonts w:ascii="宋体" w:hAnsi="Times New Roman" w:eastAsia="宋体" w:cs="Times New Roman"/>
      <w:sz w:val="21"/>
      <w:lang w:val="en-US" w:eastAsia="zh-CN" w:bidi="ar-SA"/>
    </w:rPr>
  </w:style>
  <w:style w:type="paragraph" w:customStyle="1" w:styleId="8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9">
    <w:name w:val="附录图标题"/>
    <w:basedOn w:val="1"/>
    <w:next w:val="22"/>
    <w:qFormat/>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90">
    <w:name w:val="封面标准文稿编辑信息2"/>
    <w:basedOn w:val="55"/>
    <w:qFormat/>
    <w:uiPriority w:val="0"/>
    <w:pPr>
      <w:framePr w:wrap="around" w:y="4469"/>
    </w:pPr>
  </w:style>
  <w:style w:type="paragraph" w:customStyle="1" w:styleId="91">
    <w:name w:val="附录标题"/>
    <w:basedOn w:val="22"/>
    <w:next w:val="22"/>
    <w:qFormat/>
    <w:uiPriority w:val="0"/>
    <w:pPr>
      <w:ind w:firstLine="0" w:firstLineChars="0"/>
      <w:jc w:val="center"/>
    </w:pPr>
    <w:rPr>
      <w:rFonts w:ascii="黑体" w:eastAsia="黑体"/>
    </w:rPr>
  </w:style>
  <w:style w:type="paragraph" w:customStyle="1" w:styleId="92">
    <w:name w:val="首示例"/>
    <w:next w:val="22"/>
    <w:qFormat/>
    <w:uiPriority w:val="0"/>
    <w:pPr>
      <w:numPr>
        <w:ilvl w:val="0"/>
        <w:numId w:val="13"/>
      </w:numPr>
      <w:tabs>
        <w:tab w:val="left" w:pos="360"/>
      </w:tabs>
      <w:ind w:left="0" w:firstLine="0"/>
    </w:pPr>
    <w:rPr>
      <w:rFonts w:ascii="宋体" w:hAnsi="Times New Roman" w:eastAsia="宋体" w:cs="Times New Roman"/>
      <w:kern w:val="2"/>
      <w:sz w:val="18"/>
      <w:szCs w:val="18"/>
      <w:lang w:val="en-US" w:eastAsia="zh-CN" w:bidi="ar-SA"/>
    </w:rPr>
  </w:style>
  <w:style w:type="paragraph" w:customStyle="1" w:styleId="93">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94">
    <w:name w:val="附录一级条标题"/>
    <w:basedOn w:val="54"/>
    <w:next w:val="22"/>
    <w:qFormat/>
    <w:uiPriority w:val="0"/>
    <w:pPr>
      <w:numPr>
        <w:ilvl w:val="2"/>
        <w:numId w:val="4"/>
      </w:numPr>
      <w:wordWrap w:val="0"/>
      <w:overflowPunct w:val="0"/>
      <w:autoSpaceDE w:val="0"/>
      <w:autoSpaceDN w:val="0"/>
      <w:spacing w:before="50" w:beforeLines="50" w:after="50" w:afterLines="50"/>
      <w:outlineLvl w:val="2"/>
    </w:pPr>
  </w:style>
  <w:style w:type="paragraph" w:customStyle="1" w:styleId="95">
    <w:name w:val="附录一级无"/>
    <w:basedOn w:val="94"/>
    <w:qFormat/>
    <w:uiPriority w:val="0"/>
    <w:pPr>
      <w:tabs>
        <w:tab w:val="clear" w:pos="360"/>
      </w:tabs>
      <w:spacing w:before="0" w:beforeLines="0" w:after="0" w:afterLines="0"/>
    </w:pPr>
    <w:rPr>
      <w:rFonts w:ascii="宋体" w:eastAsia="宋体"/>
      <w:szCs w:val="21"/>
    </w:rPr>
  </w:style>
  <w:style w:type="paragraph" w:customStyle="1" w:styleId="9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7">
    <w:name w:val="封面标准名称2"/>
    <w:basedOn w:val="43"/>
    <w:qFormat/>
    <w:uiPriority w:val="0"/>
    <w:pPr>
      <w:framePr w:wrap="around" w:y="4469"/>
      <w:spacing w:before="630" w:beforeLines="630"/>
    </w:pPr>
  </w:style>
  <w:style w:type="paragraph" w:customStyle="1" w:styleId="98">
    <w:name w:val="附录二级无"/>
    <w:basedOn w:val="64"/>
    <w:qFormat/>
    <w:uiPriority w:val="0"/>
    <w:pPr>
      <w:tabs>
        <w:tab w:val="clear" w:pos="360"/>
      </w:tabs>
      <w:spacing w:before="0" w:beforeLines="0" w:after="0" w:afterLines="0"/>
    </w:pPr>
    <w:rPr>
      <w:rFonts w:ascii="宋体" w:eastAsia="宋体"/>
      <w:szCs w:val="21"/>
    </w:rPr>
  </w:style>
  <w:style w:type="paragraph" w:customStyle="1" w:styleId="99">
    <w:name w:val="实施日期"/>
    <w:basedOn w:val="96"/>
    <w:qFormat/>
    <w:uiPriority w:val="0"/>
    <w:pPr>
      <w:framePr w:wrap="around" w:vAnchor="page" w:hAnchor="page"/>
      <w:jc w:val="right"/>
    </w:pPr>
  </w:style>
  <w:style w:type="paragraph" w:customStyle="1" w:styleId="100">
    <w:name w:val="其他实施日期"/>
    <w:basedOn w:val="99"/>
    <w:qFormat/>
    <w:uiPriority w:val="0"/>
    <w:pPr>
      <w:framePr w:wrap="around"/>
    </w:pPr>
  </w:style>
  <w:style w:type="paragraph" w:customStyle="1" w:styleId="101">
    <w:name w:val="注×："/>
    <w:qFormat/>
    <w:uiPriority w:val="0"/>
    <w:pPr>
      <w:widowControl w:val="0"/>
      <w:numPr>
        <w:ilvl w:val="0"/>
        <w:numId w:val="14"/>
      </w:numPr>
      <w:autoSpaceDE w:val="0"/>
      <w:autoSpaceDN w:val="0"/>
      <w:jc w:val="both"/>
    </w:pPr>
    <w:rPr>
      <w:rFonts w:ascii="宋体" w:hAnsi="Times New Roman" w:eastAsia="宋体" w:cs="Times New Roman"/>
      <w:sz w:val="18"/>
      <w:szCs w:val="18"/>
      <w:lang w:val="en-US" w:eastAsia="zh-CN" w:bidi="ar-SA"/>
    </w:rPr>
  </w:style>
  <w:style w:type="paragraph" w:customStyle="1" w:styleId="102">
    <w:name w:val="附录表标号"/>
    <w:basedOn w:val="1"/>
    <w:next w:val="22"/>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10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4">
    <w:name w:val="图标脚注说明"/>
    <w:basedOn w:val="22"/>
    <w:qFormat/>
    <w:uiPriority w:val="0"/>
    <w:pPr>
      <w:ind w:left="840" w:hanging="420" w:firstLineChars="0"/>
    </w:pPr>
    <w:rPr>
      <w:sz w:val="18"/>
      <w:szCs w:val="18"/>
    </w:rPr>
  </w:style>
  <w:style w:type="paragraph" w:customStyle="1" w:styleId="105">
    <w:name w:val="三级无"/>
    <w:basedOn w:val="50"/>
    <w:qFormat/>
    <w:uiPriority w:val="0"/>
    <w:pPr>
      <w:spacing w:before="0" w:after="0"/>
    </w:pPr>
    <w:rPr>
      <w:rFonts w:ascii="宋体" w:eastAsia="宋体"/>
    </w:rPr>
  </w:style>
  <w:style w:type="paragraph" w:customStyle="1" w:styleId="106">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lang w:val="en-US" w:eastAsia="zh-CN"/>
    </w:rPr>
  </w:style>
  <w:style w:type="paragraph" w:customStyle="1" w:styleId="107">
    <w:name w:val="列项◆（三级）"/>
    <w:basedOn w:val="1"/>
    <w:qFormat/>
    <w:uiPriority w:val="0"/>
    <w:pPr>
      <w:numPr>
        <w:ilvl w:val="2"/>
        <w:numId w:val="5"/>
      </w:numPr>
    </w:pPr>
    <w:rPr>
      <w:rFonts w:ascii="宋体"/>
      <w:szCs w:val="21"/>
    </w:rPr>
  </w:style>
  <w:style w:type="paragraph" w:customStyle="1" w:styleId="108">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9">
    <w:name w:val="二级无"/>
    <w:basedOn w:val="49"/>
    <w:qFormat/>
    <w:uiPriority w:val="0"/>
    <w:pPr>
      <w:spacing w:before="0" w:after="0"/>
      <w:ind w:left="0" w:firstLine="0"/>
    </w:pPr>
    <w:rPr>
      <w:rFonts w:ascii="宋体" w:eastAsia="宋体"/>
    </w:rPr>
  </w:style>
  <w:style w:type="paragraph" w:customStyle="1" w:styleId="110">
    <w:name w:val="数字编号列项（二级）"/>
    <w:qFormat/>
    <w:uiPriority w:val="0"/>
    <w:pPr>
      <w:numPr>
        <w:ilvl w:val="1"/>
        <w:numId w:val="11"/>
      </w:numPr>
      <w:jc w:val="both"/>
    </w:pPr>
    <w:rPr>
      <w:rFonts w:ascii="宋体" w:hAnsi="Times New Roman" w:eastAsia="宋体" w:cs="Times New Roman"/>
      <w:sz w:val="21"/>
      <w:lang w:val="en-US" w:eastAsia="zh-CN" w:bidi="ar-SA"/>
    </w:rPr>
  </w:style>
  <w:style w:type="paragraph" w:customStyle="1" w:styleId="111">
    <w:name w:val="五级无"/>
    <w:basedOn w:val="70"/>
    <w:qFormat/>
    <w:uiPriority w:val="0"/>
    <w:pPr>
      <w:spacing w:before="0" w:after="0"/>
    </w:pPr>
    <w:rPr>
      <w:rFonts w:ascii="宋体" w:eastAsia="宋体"/>
    </w:rPr>
  </w:style>
  <w:style w:type="paragraph" w:customStyle="1" w:styleId="112">
    <w:name w:val="附录四级无"/>
    <w:basedOn w:val="66"/>
    <w:qFormat/>
    <w:uiPriority w:val="0"/>
    <w:pPr>
      <w:tabs>
        <w:tab w:val="clear" w:pos="360"/>
      </w:tabs>
      <w:spacing w:before="0" w:beforeLines="0" w:after="0" w:afterLines="0"/>
    </w:pPr>
    <w:rPr>
      <w:rFonts w:ascii="宋体" w:eastAsia="宋体"/>
      <w:szCs w:val="21"/>
    </w:rPr>
  </w:style>
  <w:style w:type="paragraph" w:customStyle="1" w:styleId="11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4">
    <w:name w:val=" Char Char"/>
    <w:basedOn w:val="1"/>
    <w:qFormat/>
    <w:uiPriority w:val="0"/>
    <w:pPr>
      <w:numPr>
        <w:ilvl w:val="0"/>
        <w:numId w:val="3"/>
      </w:numPr>
      <w:adjustRightInd w:val="0"/>
      <w:spacing w:line="360" w:lineRule="atLeast"/>
      <w:textAlignment w:val="baseline"/>
    </w:pPr>
    <w:rPr>
      <w:rFonts w:ascii="Tahoma" w:hAnsi="Tahoma"/>
      <w:sz w:val="24"/>
      <w:szCs w:val="20"/>
    </w:rPr>
  </w:style>
  <w:style w:type="paragraph" w:customStyle="1" w:styleId="115">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正文图标题"/>
    <w:next w:val="22"/>
    <w:qFormat/>
    <w:uiPriority w:val="0"/>
    <w:pPr>
      <w:numPr>
        <w:ilvl w:val="0"/>
        <w:numId w:val="15"/>
      </w:numPr>
      <w:tabs>
        <w:tab w:val="left" w:pos="36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其他发布部门"/>
    <w:basedOn w:val="113"/>
    <w:qFormat/>
    <w:uiPriority w:val="0"/>
    <w:pPr>
      <w:framePr w:wrap="around" w:y="15310"/>
      <w:spacing w:line="0" w:lineRule="atLeast"/>
    </w:pPr>
    <w:rPr>
      <w:rFonts w:ascii="黑体" w:eastAsia="黑体"/>
      <w:b w:val="0"/>
    </w:rPr>
  </w:style>
  <w:style w:type="paragraph" w:customStyle="1" w:styleId="118">
    <w:name w:val="图表脚注说明"/>
    <w:basedOn w:val="1"/>
    <w:qFormat/>
    <w:uiPriority w:val="0"/>
    <w:pPr>
      <w:numPr>
        <w:ilvl w:val="0"/>
        <w:numId w:val="16"/>
      </w:numPr>
    </w:pPr>
    <w:rPr>
      <w:rFonts w:ascii="宋体"/>
      <w:sz w:val="18"/>
      <w:szCs w:val="18"/>
    </w:rPr>
  </w:style>
  <w:style w:type="paragraph" w:customStyle="1" w:styleId="119">
    <w:name w:val="四级无"/>
    <w:basedOn w:val="51"/>
    <w:qFormat/>
    <w:uiPriority w:val="0"/>
    <w:pPr>
      <w:spacing w:before="0" w:after="0"/>
    </w:pPr>
    <w:rPr>
      <w:rFonts w:ascii="宋体" w:eastAsia="宋体"/>
    </w:rPr>
  </w:style>
  <w:style w:type="paragraph" w:customStyle="1" w:styleId="120">
    <w:name w:val="字母编号列项（一级）"/>
    <w:qFormat/>
    <w:uiPriority w:val="0"/>
    <w:pPr>
      <w:numPr>
        <w:ilvl w:val="0"/>
        <w:numId w:val="11"/>
      </w:numPr>
      <w:jc w:val="both"/>
    </w:pPr>
    <w:rPr>
      <w:rFonts w:ascii="宋体" w:hAnsi="Times New Roman" w:eastAsia="宋体" w:cs="Times New Roman"/>
      <w:sz w:val="21"/>
      <w:lang w:val="en-US" w:eastAsia="zh-CN" w:bidi="ar-SA"/>
    </w:rPr>
  </w:style>
  <w:style w:type="paragraph" w:customStyle="1" w:styleId="121">
    <w:name w:val="条文脚注"/>
    <w:basedOn w:val="23"/>
    <w:qFormat/>
    <w:uiPriority w:val="0"/>
    <w:pPr>
      <w:numPr>
        <w:ilvl w:val="0"/>
        <w:numId w:val="0"/>
      </w:numPr>
      <w:jc w:val="both"/>
    </w:pPr>
    <w:rPr>
      <w:rFonts w:ascii="宋体"/>
    </w:rPr>
  </w:style>
  <w:style w:type="paragraph" w:customStyle="1" w:styleId="122">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4">
    <w:name w:val="其他标准标志"/>
    <w:basedOn w:val="123"/>
    <w:qFormat/>
    <w:uiPriority w:val="0"/>
    <w:pPr>
      <w:framePr w:w="6101" w:wrap="around" w:vAnchor="page" w:hAnchor="page" w:x="4673" w:y="942"/>
    </w:pPr>
    <w:rPr>
      <w:w w:val="130"/>
    </w:rPr>
  </w:style>
  <w:style w:type="paragraph" w:customStyle="1" w:styleId="125">
    <w:name w:val="一级无"/>
    <w:basedOn w:val="48"/>
    <w:qFormat/>
    <w:uiPriority w:val="0"/>
    <w:pPr>
      <w:spacing w:before="0" w:beforeLines="0" w:after="0" w:afterLines="0"/>
    </w:pPr>
    <w:rPr>
      <w:rFonts w:ascii="宋体" w:eastAsia="宋体"/>
    </w:rPr>
  </w:style>
  <w:style w:type="paragraph" w:customStyle="1" w:styleId="126">
    <w:name w:val="标准书眉_偶数页"/>
    <w:basedOn w:val="72"/>
    <w:next w:val="1"/>
    <w:qFormat/>
    <w:uiPriority w:val="0"/>
    <w:pPr>
      <w:jc w:val="left"/>
    </w:pPr>
    <w:rPr>
      <w:rFonts w:ascii="黑体" w:eastAsia="黑体"/>
    </w:rPr>
  </w:style>
  <w:style w:type="paragraph" w:customStyle="1" w:styleId="127">
    <w:name w:val="标准书眉一"/>
    <w:qFormat/>
    <w:uiPriority w:val="0"/>
    <w:pPr>
      <w:jc w:val="both"/>
    </w:pPr>
    <w:rPr>
      <w:rFonts w:ascii="Times New Roman" w:hAnsi="Times New Roman" w:eastAsia="宋体" w:cs="Times New Roman"/>
      <w:sz w:val="20"/>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96"/>
    <w:qFormat/>
    <w:uiPriority w:val="0"/>
    <w:pPr>
      <w:framePr w:wrap="around" w:vAnchor="page" w:hAnchor="page" w:x="1419"/>
    </w:pPr>
  </w:style>
  <w:style w:type="paragraph" w:customStyle="1" w:styleId="130">
    <w:name w:val="附录标识"/>
    <w:basedOn w:val="1"/>
    <w:next w:val="22"/>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1">
    <w:name w:val="附录三级无"/>
    <w:basedOn w:val="65"/>
    <w:qFormat/>
    <w:uiPriority w:val="0"/>
    <w:pPr>
      <w:tabs>
        <w:tab w:val="clear" w:pos="360"/>
      </w:tabs>
      <w:spacing w:before="0" w:beforeLines="0" w:after="0" w:afterLines="0"/>
    </w:pPr>
    <w:rPr>
      <w:rFonts w:ascii="宋体" w:eastAsia="宋体"/>
      <w:szCs w:val="21"/>
    </w:rPr>
  </w:style>
  <w:style w:type="paragraph" w:customStyle="1" w:styleId="132">
    <w:name w:val="正文表标题"/>
    <w:next w:val="22"/>
    <w:qFormat/>
    <w:uiPriority w:val="0"/>
    <w:pPr>
      <w:numPr>
        <w:ilvl w:val="0"/>
        <w:numId w:val="17"/>
      </w:numPr>
      <w:tabs>
        <w:tab w:val="left" w:pos="36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33">
    <w:name w:val="封面标准英文名称2"/>
    <w:basedOn w:val="44"/>
    <w:qFormat/>
    <w:uiPriority w:val="0"/>
    <w:pPr>
      <w:framePr w:wrap="around" w:y="446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2021-08-18T09:34:00Z</dcterms:created>
  <dc:creator>User</dc:creator>
  <cp:lastModifiedBy>糖糖</cp:lastModifiedBy>
  <cp:lastPrinted>2021-11-04T08:30:27Z</cp:lastPrinted>
  <dcterms:modified xsi:type="dcterms:W3CDTF">2021-11-04T08:34:17Z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1DCCB29F16C84A71B88137618D6A1008</vt:lpwstr>
  </property>
</Properties>
</file>